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متن-جایگزین-بخشهای-۴-۸-و-۴-۱۴-فصل-چهارم"/>
    <w:p>
      <w:pPr>
        <w:pStyle w:val="Heading1"/>
      </w:pPr>
      <w:r>
        <w:t xml:space="preserve">متن جایگزین بخش‌های ۴-۸ و ۴-۱۴ فصل چهارم</w:t>
      </w:r>
    </w:p>
    <w:p>
      <w:pPr>
        <w:pStyle w:val="FirstParagraph"/>
      </w:pPr>
      <w:r>
        <w:t xml:space="preserve">این فایل متن تازه دو بخش از فصل چهارم را در بر دارد که شکل‌های آن‌ها عوض شده‌اند و</w:t>
      </w:r>
      <w:r>
        <w:t xml:space="preserve"> </w:t>
      </w:r>
      <w:r>
        <w:t xml:space="preserve">متن قدیمی دیگر با نمودارها نمی‌خواند: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بخش ۴-۸ (اثر نسبت‌های ابعادی پلاکت‌های گرافنی)</w:t>
      </w:r>
      <w:r>
        <w:t xml:space="preserve"> </w:t>
      </w:r>
      <w:r>
        <w:t xml:space="preserve">— هر دو شکل ۴-۱۱ و ۴-۱۲.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بخش ۴-۱۴ (اثر زمان تخفیف)</w:t>
      </w:r>
      <w:r>
        <w:t xml:space="preserve"> </w:t>
      </w:r>
      <w:r>
        <w:t xml:space="preserve">— شکل ۴-۲۵.</w:t>
      </w:r>
    </w:p>
    <w:p>
      <w:pPr>
        <w:pStyle w:val="FirstParagraph"/>
      </w:pPr>
      <w:r>
        <w:t xml:space="preserve">همه عددها از فایل‌های نتیجه همین حل‌ها بیرون کشیده شده‌اند و با شکل‌های نسخه R18 می‌خوانند.</w:t>
      </w:r>
      <w:r>
        <w:t xml:space="preserve"> </w:t>
      </w:r>
      <w:r>
        <w:t xml:space="preserve">نگارش اعشار مانند بقیه پایان‌نامه است (برای نمونه 926/0 یعنی نه‌دهم و بیست‌وشش صدم).</w:t>
      </w:r>
    </w:p>
    <w:p>
      <w:r>
        <w:pict>
          <v:rect style="width:0;height:1.5pt" o:hralign="center" o:hrstd="t" o:hr="t"/>
        </w:pict>
      </w:r>
    </w:p>
    <w:bookmarkStart w:id="29" w:name="اثر-نسبتهای-ابعادی-پلاکتهای-گرافنی"/>
    <w:p>
      <w:pPr>
        <w:pStyle w:val="Heading2"/>
      </w:pPr>
      <w:r>
        <w:t xml:space="preserve">۴-۸. اثر نسبت‌های ابعادی پلاکت‌های گرافنی</w:t>
      </w:r>
    </w:p>
    <w:p>
      <w:pPr>
        <w:pStyle w:val="FirstParagraph"/>
      </w:pPr>
      <w:r>
        <w:t xml:space="preserve">مدل هالپین–تسای که در فصل سوم استفاده شده است مدول یانگ مواد تقویت‌شده با پلاکت‌های</w:t>
      </w:r>
      <w:r>
        <w:t xml:space="preserve"> </w:t>
      </w:r>
      <w:r>
        <w:t xml:space="preserve">گرافنی را نه‌تنها به کسر حجمی بلکه به هندسه پلاکت نیز وابسته می‌کند؛ در کنار آن، مدل</w:t>
      </w:r>
      <w:r>
        <w:t xml:space="preserve"> </w:t>
      </w:r>
      <w:r>
        <w:t xml:space="preserve">هدایت حرارتی مؤثر نیز به همین هندسه حساس است. در این بخش دو نسبت ابعادی، هر یک</w:t>
      </w:r>
      <w:r>
        <w:t xml:space="preserve"> </w:t>
      </w:r>
      <w:r>
        <w:t xml:space="preserve">جداگانه و با ثابت‌ماندن سایر پارامترها در مقادیر مرجع، بررسی می‌شوند: نخست نسبت</w:t>
      </w:r>
      <w:r>
        <w:t xml:space="preserve"> </w:t>
      </w:r>
      <w:r>
        <w:t xml:space="preserve">طول‌به‌عرض پلاکت‌های گرافنی و دوم نسبت عرض‌به‌ضخامت آن‌ها.</w:t>
      </w:r>
    </w:p>
    <w:p>
      <w:pPr>
        <w:pStyle w:val="BodyText"/>
      </w:pPr>
      <w:r>
        <w:rPr>
          <w:b/>
          <w:bCs/>
        </w:rPr>
        <w:t xml:space="preserve">[شکل ۴-۱۱]</w:t>
      </w:r>
    </w:p>
    <w:p>
      <w:pPr>
        <w:pStyle w:val="BodyText"/>
      </w:pPr>
      <w:r>
        <w:t xml:space="preserve">اثر تغییر نسبت طول‌به‌عرض در شکل ۴-۱۱ آمده است. با افزایش این نسبت از 0/1 به 67/1</w:t>
      </w:r>
      <w:r>
        <w:t xml:space="preserve"> </w:t>
      </w:r>
      <w:r>
        <w:t xml:space="preserve">(مرجع)، 4 و 10، بیشینه دمای نقطه میانی از 898/0 به 926/0، 945/0 و 951/0 می‌رسد و</w:t>
      </w:r>
      <w:r>
        <w:t xml:space="preserve"> </w:t>
      </w:r>
      <w:r>
        <w:t xml:space="preserve">تنش محیطی سطح داخلی از 453/1 به 526/1، 569/1 و 582/1 می‌رود. رفتار اشباع‌شونده است:</w:t>
      </w:r>
      <w:r>
        <w:t xml:space="preserve"> </w:t>
      </w:r>
      <w:r>
        <w:t xml:space="preserve">بخش عمده تغییر در همان گام نخست رخ می‌دهد، گام بعدی کوچک‌تر است و از نسبت 4 به بعد</w:t>
      </w:r>
      <w:r>
        <w:t xml:space="preserve"> </w:t>
      </w:r>
      <w:r>
        <w:t xml:space="preserve">منحنی‌ها عملاً بر هم منطبق می‌شوند. کشیده‌ترکردن پلاکت فراتر از چند واحد سود محسوسی</w:t>
      </w:r>
      <w:r>
        <w:t xml:space="preserve"> </w:t>
      </w:r>
      <w:r>
        <w:t xml:space="preserve">به همراه ندارد و نسبت مرجع 67/1 هنوز در ناحیه‌ای است که اشباع نشده است.</w:t>
      </w:r>
    </w:p>
    <w:p>
      <w:pPr>
        <w:pStyle w:val="BodyText"/>
      </w:pPr>
      <w:r>
        <w:rPr>
          <w:b/>
          <w:bCs/>
        </w:rPr>
        <w:t xml:space="preserve">[شکل ۴-۱۲]</w:t>
      </w:r>
    </w:p>
    <w:p>
      <w:pPr>
        <w:pStyle w:val="BodyText"/>
      </w:pPr>
      <w:r>
        <w:t xml:space="preserve">نسبت عرض‌به‌ضخامت رفتاری از گونه دیگر دارد (شکل ۴-۱۲). با افزایش این نسبت از 10 به</w:t>
      </w:r>
      <w:r>
        <w:t xml:space="preserve"> </w:t>
      </w:r>
      <w:r>
        <w:t xml:space="preserve">100 و سپس 1000، بیشینه دمای نقطه میانی از صفر به صفر و آنگاه به 926/0 جهش می‌کند؛</w:t>
      </w:r>
      <w:r>
        <w:t xml:space="preserve"> </w:t>
      </w:r>
      <w:r>
        <w:t xml:space="preserve">یعنی در دو مقدار نخست، در سراسر بازه زمانی مطالعه عملاً هیچ گرمایی به نقطه میانی</w:t>
      </w:r>
      <w:r>
        <w:t xml:space="preserve"> </w:t>
      </w:r>
      <w:r>
        <w:t xml:space="preserve">نمی‌رسد. ریشه این رفتار، آستانه‌ای بودن مدل هدایت حرارتی مؤثر است: شبکه رسانای</w:t>
      </w:r>
      <w:r>
        <w:t xml:space="preserve"> </w:t>
      </w:r>
      <w:r>
        <w:t xml:space="preserve">پلاکت‌ها تنها آنگاه شکل می‌گیرد که کسر حجمی از وارون نسبت طول‌به‌ضخامت پلاکت بزرگ‌تر</w:t>
      </w:r>
      <w:r>
        <w:t xml:space="preserve"> </w:t>
      </w:r>
      <w:r>
        <w:t xml:space="preserve">شود. در کسر وزنی مرجع 3/0 درصد (کسر حجمی 003395/0) این شرط به نسبت عرض‌به‌ضخامت</w:t>
      </w:r>
      <w:r>
        <w:t xml:space="preserve"> </w:t>
      </w:r>
      <w:r>
        <w:t xml:space="preserve">بزرگ‌تر از حدود 177 می‌انجامد؛ پس هر دو مقدار 10 و 100 زیر آستانه‌اند، هدایت حرارتی</w:t>
      </w:r>
      <w:r>
        <w:t xml:space="preserve"> </w:t>
      </w:r>
      <w:r>
        <w:t xml:space="preserve">مؤثر به مقدار زمینه متخلخل بدون گرافن (2961/0 وات بر متر-کلوین) بازمی‌گردد و موج</w:t>
      </w:r>
      <w:r>
        <w:t xml:space="preserve"> </w:t>
      </w:r>
      <w:r>
        <w:t xml:space="preserve">حرارتی در پنجره زمانی مسئله به میانه جداره نمی‌رسد. چون جداره در این دو حالت سرد</w:t>
      </w:r>
      <w:r>
        <w:t xml:space="preserve"> </w:t>
      </w:r>
      <w:r>
        <w:t xml:space="preserve">می‌ماند، تنش محیطی سطح داخلی (820/0 و 422/0) تقریباً همان پاسخ فشاری است و تفاوت</w:t>
      </w:r>
      <w:r>
        <w:t xml:space="preserve"> </w:t>
      </w:r>
      <w:r>
        <w:t xml:space="preserve">آن دو تنها از تغییر سفتی مؤثر می‌آید؛ با گذشتن از آستانه، سهم حرارتی نیز افزوده</w:t>
      </w:r>
      <w:r>
        <w:t xml:space="preserve"> </w:t>
      </w:r>
      <w:r>
        <w:t xml:space="preserve">می‌شود و این تنش به 526/1 می‌رسد.</w:t>
      </w:r>
    </w:p>
    <w:p>
      <w:pPr>
        <w:pStyle w:val="BodyText"/>
      </w:pPr>
      <w:r>
        <w:t xml:space="preserve">جمع‌بندی این دو مطالعه آن است که دو نسبت ابعادی از دو مسیر متفاوت اثر می‌گذارند:</w:t>
      </w:r>
      <w:r>
        <w:t xml:space="preserve"> </w:t>
      </w:r>
      <w:r>
        <w:t xml:space="preserve">نسبت طول‌به‌عرض عاملی پیوسته و مرتبه‌دوم است که زود اشباع می‌شود، حال آنکه نسبت</w:t>
      </w:r>
      <w:r>
        <w:t xml:space="preserve"> </w:t>
      </w:r>
      <w:r>
        <w:t xml:space="preserve">عرض‌به‌ضخامت در کسر وزنی رقیق نقش یک کلید را بازی می‌کند و تا پیش از برقرارشدن شبکه</w:t>
      </w:r>
      <w:r>
        <w:t xml:space="preserve"> </w:t>
      </w:r>
      <w:r>
        <w:t xml:space="preserve">رسانا، افزودن گرافن عملاً مسیری برای عبور گرما نمی‌سازد. از دید طراحی، نازک‌بودن</w:t>
      </w:r>
      <w:r>
        <w:t xml:space="preserve"> </w:t>
      </w:r>
      <w:r>
        <w:t xml:space="preserve">پلاکت پیش‌شرط بهره‌بردن از رسانندگی گرافن است و تنها پس از تأمین آن، تنظیم سایر</w:t>
      </w:r>
      <w:r>
        <w:t xml:space="preserve"> </w:t>
      </w:r>
      <w:r>
        <w:t xml:space="preserve">نسبت‌ها معنا پیدا می‌کند.</w:t>
      </w:r>
    </w:p>
    <w:bookmarkStart w:id="28" w:name="Xd63aff42fe95dc9ca8762a7c1791f8e7967fea3"/>
    <w:p>
      <w:pPr>
        <w:pStyle w:val="Heading3"/>
      </w:pPr>
      <w:r>
        <w:t xml:space="preserve">پاراگراف اختیاری — تنها اگر شکل ریزگام b/t را هم وارد کنید</w:t>
      </w:r>
    </w:p>
    <w:p>
      <w:pPr>
        <w:pStyle w:val="BlockText"/>
      </w:pPr>
      <w:r>
        <w:t xml:space="preserve">اگر شکل</w:t>
      </w:r>
      <w:r>
        <w:t xml:space="preserve"> </w:t>
      </w:r>
      <w:r>
        <w:rPr>
          <w:rStyle w:val="VerbatimChar"/>
        </w:rPr>
        <w:t xml:space="preserve">P_aspect_bt_fine</w:t>
      </w:r>
      <w:r>
        <w:t xml:space="preserve"> </w:t>
      </w:r>
      <w:r>
        <w:t xml:space="preserve">را به‌عنوان شکل تازه پس از ۴-۱۲ بیاورید، این پاراگراف را</w:t>
      </w:r>
      <w:r>
        <w:t xml:space="preserve"> </w:t>
      </w:r>
      <w:r>
        <w:t xml:space="preserve">پس از پاراگراف بالا بگذارید و شماره شکل‌های بعدی فصل را یکی جلو ببرید.</w:t>
      </w:r>
    </w:p>
    <w:p>
      <w:pPr>
        <w:pStyle w:val="FirstParagraph"/>
      </w:pPr>
      <w:r>
        <w:t xml:space="preserve">برای آنکه محل این گذار روشن شود، همان نسبت با گام‌های ریزتر 100، 200، 500، 1000 و</w:t>
      </w:r>
      <w:r>
        <w:t xml:space="preserve"> </w:t>
      </w:r>
      <w:r>
        <w:t xml:space="preserve">2000 نیز حل شد. بیشینه دمای نقطه میانی به‌ترتیب صفر، 433/0، 880/0، 926/0 و 942/0</w:t>
      </w:r>
      <w:r>
        <w:t xml:space="preserve"> </w:t>
      </w:r>
      <w:r>
        <w:t xml:space="preserve">است و تنش محیطی سطح داخلی 422/0، 766/0، 427/1، 526/1 و 555/1؛ یعنی گذار میان 100 و</w:t>
      </w:r>
      <w:r>
        <w:t xml:space="preserve"> </w:t>
      </w:r>
      <w:r>
        <w:t xml:space="preserve">200 رخ می‌دهد که با آستانه تحلیلی حدود 177 سازگار است، و پس از آن منحنی‌ها به‌سرعت</w:t>
      </w:r>
      <w:r>
        <w:t xml:space="preserve"> </w:t>
      </w:r>
      <w:r>
        <w:t xml:space="preserve">به یکدیگر نزدیک می‌شوند و رفتار دوباره اشباع‌شونده می‌گردد.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اثر-زمان-تخفیف-لردشولمن-در-برابر-فوریه"/>
    <w:p>
      <w:pPr>
        <w:pStyle w:val="Heading2"/>
      </w:pPr>
      <w:r>
        <w:t xml:space="preserve">۴-۱۴. اثر زمان تخفیف؛ لرد–شولمن در برابر فوریه</w:t>
      </w:r>
    </w:p>
    <w:p>
      <w:pPr>
        <w:pStyle w:val="FirstParagraph"/>
      </w:pPr>
      <w:r>
        <w:t xml:space="preserve">در شکل ۴-۲۵ تئوری هدایت حرارت فوریه (زمان تخفیف صفر) با دو زمان تخفیف بی‌بعد 04/0 و</w:t>
      </w:r>
      <w:r>
        <w:t xml:space="preserve"> </w:t>
      </w:r>
      <w:r>
        <w:t xml:space="preserve">15/0 مقایسه می‌شود؛ مقدار دوم همان مقدار مرجع این پایان‌نامه است (زمان تخفیف 418</w:t>
      </w:r>
      <w:r>
        <w:t xml:space="preserve"> </w:t>
      </w:r>
      <w:r>
        <w:t xml:space="preserve">ثانیه).</w:t>
      </w:r>
    </w:p>
    <w:p>
      <w:pPr>
        <w:pStyle w:val="BodyText"/>
      </w:pPr>
      <w:r>
        <w:t xml:space="preserve">روشن‌ترین تفاوت، لحظه رسیدن گرما به نقطه میانی است. در حل فوریه دما از همان آغاز و</w:t>
      </w:r>
      <w:r>
        <w:t xml:space="preserve"> </w:t>
      </w:r>
      <w:r>
        <w:t xml:space="preserve">به‌صورت یکنواخت بالا می‌رود (عدد فوریه 024/0 برای گذشتن از یک‌صدم) زیرا انتشار سهموی</w:t>
      </w:r>
      <w:r>
        <w:t xml:space="preserve"> </w:t>
      </w:r>
      <w:r>
        <w:t xml:space="preserve">سرعت نامحدود دارد و جبهه‌ای ندارد که بتوان ورودش را دید. با وارد شدن زمان تخفیف، گرما</w:t>
      </w:r>
      <w:r>
        <w:t xml:space="preserve"> </w:t>
      </w:r>
      <w:r>
        <w:t xml:space="preserve">به‌صورت موجی با سرعت محدود منتشر می‌شود: نقطه میانی تا عدد فوریه 100/0 برای زمان</w:t>
      </w:r>
      <w:r>
        <w:t xml:space="preserve"> </w:t>
      </w:r>
      <w:r>
        <w:t xml:space="preserve">تخفیف 04/0 و تا 194/0 برای زمان تخفیف 15/0 عملاً سرد می‌ماند و سپس دما با یک پرش</w:t>
      </w:r>
      <w:r>
        <w:t xml:space="preserve"> </w:t>
      </w:r>
      <w:r>
        <w:t xml:space="preserve">تیز بالا می‌آید؛ همین پرش نخست دما را به 321/0 و 511/0 می‌رساند، در حالی‌که حل فوریه</w:t>
      </w:r>
      <w:r>
        <w:t xml:space="preserve"> </w:t>
      </w:r>
      <w:r>
        <w:t xml:space="preserve">در همان بازه تنها به 157/0 رسیده است. پله دوم که در ادامه تاریخچه دیده می‌شود،</w:t>
      </w:r>
      <w:r>
        <w:t xml:space="preserve"> </w:t>
      </w:r>
      <w:r>
        <w:t xml:space="preserve">بازتاب جبهه موج از مرزهاست و در حل فوریه معادلی ندارد.</w:t>
      </w:r>
    </w:p>
    <w:p>
      <w:pPr>
        <w:pStyle w:val="BodyText"/>
      </w:pPr>
      <w:r>
        <w:t xml:space="preserve">اثر زمان تخفیف بر سطح دما ملایم‌تر اما هم‌جهت است. بیشینه دمای نقطه میانی از 950/0</w:t>
      </w:r>
      <w:r>
        <w:t xml:space="preserve"> </w:t>
      </w:r>
      <w:r>
        <w:t xml:space="preserve">در حل فوریه به 953/0 و 962/0 می‌رسد. افزون بر این، در زمان تخفیف 15/0 این بیشینه</w:t>
      </w:r>
      <w:r>
        <w:t xml:space="preserve"> </w:t>
      </w:r>
      <w:r>
        <w:t xml:space="preserve">دیگر در پایان بازه رخ نمی‌دهد بلکه در عدد فوریه 373/1 ظاهر می‌شود و سپس دما اندکی</w:t>
      </w:r>
      <w:r>
        <w:t xml:space="preserve"> </w:t>
      </w:r>
      <w:r>
        <w:t xml:space="preserve">افت کرده و روی 960/0 آرام می‌گیرد؛ یعنی موج، پیش از آنکه میدان به حالت ماندگار برسد،</w:t>
      </w:r>
      <w:r>
        <w:t xml:space="preserve"> </w:t>
      </w:r>
      <w:r>
        <w:t xml:space="preserve">دمایی بالاتر از مقدار ماندگار را به‌طور گذرا تحمیل می‌کند. در نیمرخ شعاعی زمان نهایی</w:t>
      </w:r>
      <w:r>
        <w:t xml:space="preserve"> </w:t>
      </w:r>
      <w:r>
        <w:t xml:space="preserve">نیز همین اثر دیده می‌شود: دمای سطح خارجی از 914/0 در حل فوریه به 918/0 و 928/0</w:t>
      </w:r>
      <w:r>
        <w:t xml:space="preserve"> </w:t>
      </w:r>
      <w:r>
        <w:t xml:space="preserve">می‌رسد. در بازه زمان‌های تخفیف بررسی‌شده، بیشینه دمای نقطه میانی همواره کمتر از دمای</w:t>
      </w:r>
      <w:r>
        <w:t xml:space="preserve"> </w:t>
      </w:r>
      <w:r>
        <w:t xml:space="preserve">سطح داخلی می‌ماند.</w:t>
      </w:r>
    </w:p>
    <w:p>
      <w:pPr>
        <w:pStyle w:val="BodyText"/>
      </w:pPr>
      <w:r>
        <w:t xml:space="preserve">اثر بر تنش بسیار کوچک است؛ سه نیمرخ تنش محیطی تقریباً بر هم منطبق‌اند و تنش سطح</w:t>
      </w:r>
      <w:r>
        <w:t xml:space="preserve"> </w:t>
      </w:r>
      <w:r>
        <w:t xml:space="preserve">داخلی تنها از 582/1 به 588/1 و 603/1 می‌رسد. پس سهم اصلی زمان تخفیف در میدان دماست</w:t>
      </w:r>
      <w:r>
        <w:t xml:space="preserve"> </w:t>
      </w:r>
      <w:r>
        <w:t xml:space="preserve">و تنش تنها به‌واسطه آن و با تأخیر پاسخ می‌دهد.</w:t>
      </w:r>
    </w:p>
    <w:p>
      <w:pPr>
        <w:pStyle w:val="BodyText"/>
      </w:pPr>
      <w:r>
        <w:t xml:space="preserve">بنابراین زمان تخفیف دو چیز را کنترل می‌کند: زمان ورود موج حرارتی و سطح بیشینه دمایی</w:t>
      </w:r>
      <w:r>
        <w:t xml:space="preserve"> </w:t>
      </w:r>
      <w:r>
        <w:t xml:space="preserve">که جداره به‌طور گذرا تجربه می‌کند. حتی در مقدار مرجع که اثر آن بر بیشینه دما از چند</w:t>
      </w:r>
      <w:r>
        <w:t xml:space="preserve"> </w:t>
      </w:r>
      <w:r>
        <w:t xml:space="preserve">درصد فراتر نمی‌رود، نشانه موجی در تاریخچه دما به‌روشنی دیده می‌شود و همین، استدلال</w:t>
      </w:r>
      <w:r>
        <w:t xml:space="preserve"> </w:t>
      </w:r>
      <w:r>
        <w:t xml:space="preserve">اصلی به‌کارگیری ترموالاستیسیته تعمیم‌یافته به‌جای هدایت فوریه در تحلیل‌های زمان‌کوتاه</w:t>
      </w:r>
      <w:r>
        <w:t xml:space="preserve"> </w:t>
      </w:r>
      <w:r>
        <w:t xml:space="preserve">است [3].</w:t>
      </w:r>
    </w:p>
    <w:p>
      <w:r>
        <w:pict>
          <v:rect style="width:0;height:1.5pt" o:hralign="center" o:hrstd="t" o:hr="t"/>
        </w:pict>
      </w:r>
    </w:p>
    <w:bookmarkEnd w:id="30"/>
    <w:bookmarkStart w:id="31" w:name="چه-چیزی-از-متن-پیشین-باید-برداشته-شود"/>
    <w:p>
      <w:pPr>
        <w:pStyle w:val="Heading2"/>
      </w:pPr>
      <w:r>
        <w:t xml:space="preserve">چه چیزی از متن پیشین باید برداشته شود</w:t>
      </w:r>
    </w:p>
    <w:p>
      <w:pPr>
        <w:pStyle w:val="FirstParagraph"/>
      </w:pPr>
      <w:r>
        <w:rPr>
          <w:b/>
          <w:bCs/>
        </w:rPr>
        <w:t xml:space="preserve">در بخش ۴-۸:</w:t>
      </w:r>
    </w:p>
    <w:p>
      <w:pPr>
        <w:pStyle w:val="Compact"/>
        <w:numPr>
          <w:ilvl w:val="0"/>
          <w:numId w:val="1002"/>
        </w:numPr>
      </w:pPr>
      <w:r>
        <w:t xml:space="preserve">عبارت «و سپس 67/2» و عددهای 939/0 و 556/1 — این حالت دیگر در شکل نیست؛ جای آن را 4 و 10 گرفته‌اند.</w:t>
      </w:r>
    </w:p>
    <w:p>
      <w:pPr>
        <w:pStyle w:val="Compact"/>
        <w:numPr>
          <w:ilvl w:val="0"/>
          <w:numId w:val="1002"/>
        </w:numPr>
      </w:pPr>
      <w:r>
        <w:t xml:space="preserve">کل جمله «نسبت عرض ‌به‌ ضخامت … در این حالت اثر گذاری حتی ضعیف‌تر است، با افزایش این نسبت از 500 به 1000 و 2000، دمای بیشینه عملاً ثابت می‌ماند و تنش محیطی سطح داخلی تنها از 542/1 به 516/1 تغییر می‌کند» — سه عدد 500، 1000 و 2000 با تعریف پیشین (تغییر عرض پلاکت) به‌دست آمده بودند که نسبت طول‌به‌عرض را هم جابه‌جا می‌کرد؛ سوئیپ تازه ضخامت پلاکت را تغییر می‌دهد و نسبت طول‌به‌عرض را روی 67/1 نگه می‌دارد. بنابراین نه عددها و نه نتیجه‌گیری «اثر ضعیف‌تر» دیگر درست نیست.</w:t>
      </w:r>
    </w:p>
    <w:p>
      <w:pPr>
        <w:pStyle w:val="Compact"/>
        <w:numPr>
          <w:ilvl w:val="0"/>
          <w:numId w:val="1002"/>
        </w:numPr>
      </w:pPr>
      <w:r>
        <w:t xml:space="preserve">جمله «پس هر دو نسبت ابعادی اینجا عوامل مرتبه دوم‌اند» — برای نسبت طول‌به‌عرض درست می‌ماند ولی برای نسبت عرض‌به‌ضخامت نادرست شده است.</w:t>
      </w:r>
    </w:p>
    <w:p>
      <w:pPr>
        <w:pStyle w:val="FirstParagraph"/>
      </w:pPr>
      <w:r>
        <w:rPr>
          <w:b/>
          <w:bCs/>
        </w:rPr>
        <w:t xml:space="preserve">در بخش ۴-۱۴:</w:t>
      </w:r>
    </w:p>
    <w:p>
      <w:pPr>
        <w:pStyle w:val="Compact"/>
        <w:numPr>
          <w:ilvl w:val="0"/>
          <w:numId w:val="1003"/>
        </w:numPr>
      </w:pPr>
      <w:r>
        <w:t xml:space="preserve">«سه زمان تخفیف بی‌بعد 04/0، 15/0 و 44/0» → اکنون دو مقدار است: 04/0 و 15/0.</w:t>
      </w:r>
    </w:p>
    <w:p>
      <w:pPr>
        <w:pStyle w:val="Compact"/>
        <w:numPr>
          <w:ilvl w:val="0"/>
          <w:numId w:val="1003"/>
        </w:numPr>
      </w:pPr>
      <w:r>
        <w:t xml:space="preserve">جمله «در بیشترین مقدار، دما حتی از مقدار سطح داخلی نیز عبور می‌کند پدیده‌ای کاملاً هذلولوی که در نظریه سهموی فوریه ناممکن است» — این ادعا به منحنی 44/0 تکیه داشت و با حذف آن، هیچ منحنی در شکل از دمای سطح داخلی بالاتر نمی‌رود. اگر می‌خواهید این استدلال در پایان‌نامه بماند، یا باید منحنی 44/0 به شکل بازگردد یا ادعا به شکلی محدودتر (برای زمان‌های تخفیف بسیار بزرگ‌تر از مرجع) بیان شود؛ در متن بالا راه دوم انتخاب شده است.</w:t>
      </w:r>
    </w:p>
    <w:bookmarkEnd w:id="31"/>
    <w:bookmarkEnd w:id="32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2026-10-04T18:33:59Z</dcterms:created>
  <dcterms:modified xsi:type="dcterms:W3CDTF">2026-10-04T18:33:59Z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