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بازخورد دست‌نویس داوری فصل چهارم (تایپ‌شده)</w:t>
      </w:r>
    </w:p>
    <w:p>
      <w:pPr>
        <w:pStyle w:val="Heading1"/>
        <w:bidi/>
        <w:spacing w:after="120" w:line="360" w:lineRule="auto"/>
        <w:jc w:val="right"/>
      </w:pPr>
      <w:r>
        <w:rPr>
          <w:rFonts w:ascii="Times New Roman" w:hAnsi="Times New Roman" w:cs="B Nazanin"/>
          <w:b/>
          <w:bCs/>
          <w:sz w:val="28"/>
          <w:szCs w:val="32"/>
          <w:rtl/>
        </w:rPr>
        <w:t xml:space="preserve">صفحه ۱ — قواعد نگارشی</w:t>
      </w:r>
    </w:p>
    <w:p>
      <w:pPr>
        <w:bidi/>
        <w:spacing w:after="120" w:line="360" w:lineRule="auto"/>
        <w:jc w:val="both"/>
      </w:pPr>
      <w:r>
        <w:rPr>
          <w:rFonts w:ascii="Times New Roman" w:hAnsi="Times New Roman" w:cs="B Nazanin"/>
          <w:sz w:val="24"/>
          <w:szCs w:val="28"/>
          <w:rtl/>
        </w:rPr>
        <w:t xml:space="preserve">- حتی‌الامکان از نوشتن «مؤلفه برابر با مقدار» با علامت تساوی در متن خودداری شود. مقدار مؤلفه (در خارج از متن) مشخص شود، سپس در متن مؤلفه معرفی شود. در صورتی که باید در متن به مؤلفه مقدار داده شود، جهت نوشتن برعکس شود، چرا که در حال حاضر جهت درست نیست. - از سخت‌نویسی و پیچیده‌نویسی پرهیز شود. - متن دو یا سه بار خوانده شود تا مشکل نوشتاری در آن نماند. - برای بخش‌های تست همگرایی و صحت‌سنجی با مقالات علمی دیگر، نمودار رسم شود و فقط به جدول اکتفا نشود. - توضیحات مفصل‌تر و کامل‌تری برای بخش همگرایی و صحت‌سنجی نوشته شود. - فایل‌های متنی برای Word 2010 مناسب باشند. - تفسیرهایی برای تغییرات نوشته شود؛ برای الگوهایی که دو‌به‌دو به‌صورت آیینه/ معکوس یکدیگرند، رفتارهای [غیرآیینه‌ای؟] برایم ارائه کن. - درباره پارامترهایی که نمودارهای آن‌ها رسم می‌شود بحث شود. تعداد نمودارهای هر بخش را افزایش دهیم. - آیا امکان ملایم‌تر کردن و به فرم منطقی نزدیک‌تر کردن تغییرات در نمودارها وجود دارد؟ - توضیح بالای هر نمودار با شرایط واقعی آن نمودار چک شود. (اگر مؤلفه بی‌بعد شده است، در توضیح، مؤلفهٔ واقعی نوشته نشود و همان مؤلفهٔ بی‌بعد آورده شود.)</w:t>
      </w:r>
    </w:p>
    <w:p>
      <w:pPr>
        <w:pStyle w:val="Heading1"/>
        <w:bidi/>
        <w:spacing w:after="120" w:line="360" w:lineRule="auto"/>
        <w:jc w:val="right"/>
      </w:pPr>
      <w:r>
        <w:rPr>
          <w:rFonts w:ascii="Times New Roman" w:hAnsi="Times New Roman" w:cs="B Nazanin"/>
          <w:b/>
          <w:bCs/>
          <w:sz w:val="28"/>
          <w:szCs w:val="32"/>
          <w:rtl/>
        </w:rPr>
        <w:t xml:space="preserve">صفحه ۲ — درخواست‌های مطالعاتی جدید</w:t>
      </w:r>
    </w:p>
    <w:p>
      <w:pPr>
        <w:bidi/>
        <w:spacing w:after="120" w:line="360" w:lineRule="auto"/>
        <w:jc w:val="both"/>
      </w:pPr>
      <w:r>
        <w:rPr>
          <w:rFonts w:ascii="Times New Roman" w:hAnsi="Times New Roman" w:cs="B Nazanin"/>
          <w:sz w:val="24"/>
          <w:szCs w:val="28"/>
          <w:rtl/>
        </w:rPr>
        <w:t xml:space="preserve">- شرط تکیه‌گاهی سادهٔ و گیردار به‌صورت هم‌زمان هم بررسی شود (یک انتها ساده و یک انتها گیردار). - فشار داخلی را برای P_i = 0, 10, 30, 50, 70 MPa در نظر بگیر و مقایسه کن. همچنین اگر موجب [ناپایداری؟] نشد، فشار P_i = 100 MPa را هم بررسی کن. - حالت‌های بیشتری از الگوهای هم‌زمان پلاکت‌های گرافن و تخلخل را بررسی کن. - پیرو وضع پارامترها، برای بررسی‌ها تصمیم بگیریم کدام مؤلفه (تنش، کرنش، جابجایی یا دما) بهتر می‌تواند شرایط را نشان دهد و نمودار آن را هم اضافه کنیم. (سعی شود جنس مؤلفه در تمام حالات ثابت نباشد [یعنی صرفاً همان چیزی که در حال حاضر داریم]، و بنا بر شرایط، مؤلفه‌های دیگر هم اضافه شوند.) - هرگاه عددی برای یک مؤلفه به‌کار می‌رود، واحد آن اعلام شود، مگر اینکه بی‌بعد شده باشد. - تعداد لایه‌ها برای بررسی را NL = 3, 5, 9, 15 در نظر بگیر. - در بررسی مؤلفه‌های هندسی استوانه (طول، ضخامت) از حالت بی‌بعد این مؤلفه‌ها هم استفاده کن؛ رفتار هندسی بی‌بعد بررسی شود. - در نمودار ۴-۱۵، راهنمای نمودار (legend) به بالا-راست منتقل نشود (مزاحم نمایش است). - حالت استوانه با طول نامحدود هم در نظر گرفته شود (یعنی طول را آن‌قدر زیاد کنیم که اثر مکانیکی و حرارتی دو انتها دیده نشود).</w:t>
      </w:r>
    </w:p>
    <w:p>
      <w:pPr>
        <w:pStyle w:val="Heading1"/>
        <w:bidi/>
        <w:spacing w:after="120" w:line="360" w:lineRule="auto"/>
        <w:jc w:val="right"/>
      </w:pPr>
      <w:r>
        <w:rPr>
          <w:rFonts w:ascii="Times New Roman" w:hAnsi="Times New Roman" w:cs="B Nazanin"/>
          <w:b/>
          <w:bCs/>
          <w:sz w:val="28"/>
          <w:szCs w:val="32"/>
          <w:rtl/>
        </w:rPr>
        <w:t xml:space="preserve">صفحه ۳ — ساختار فصل ۴ (پایان‌نامهٔ رضایی، برای مرجع)</w:t>
      </w:r>
    </w:p>
    <w:p>
      <w:pPr>
        <w:bidi/>
        <w:spacing w:after="120" w:line="360" w:lineRule="auto"/>
        <w:jc w:val="both"/>
      </w:pPr>
      <w:r>
        <w:rPr>
          <w:rFonts w:ascii="Times New Roman" w:hAnsi="Times New Roman" w:cs="B Nazanin"/>
          <w:sz w:val="24"/>
          <w:szCs w:val="28"/>
          <w:rtl/>
        </w:rPr>
        <w:t xml:space="preserve">فصل ۴: (رضایی)</w:t>
      </w:r>
    </w:p>
    <w:p>
      <w:pPr>
        <w:bidi/>
        <w:spacing w:after="120" w:line="360" w:lineRule="auto"/>
        <w:ind w:left="425" w:right="425"/>
        <w:jc w:val="both"/>
      </w:pPr>
      <w:r>
        <w:rPr>
          <w:rFonts w:ascii="Times New Roman" w:hAnsi="Times New Roman" w:cs="B Nazanin"/>
          <w:sz w:val="24"/>
          <w:szCs w:val="28"/>
          <w:rtl/>
        </w:rPr>
        <w:t xml:space="preserve">1. همگرایی</w:t>
      </w:r>
    </w:p>
    <w:p>
      <w:pPr>
        <w:bidi/>
        <w:spacing w:after="120" w:line="360" w:lineRule="auto"/>
        <w:ind w:left="425" w:right="425"/>
        <w:jc w:val="both"/>
      </w:pPr>
      <w:r>
        <w:rPr>
          <w:rFonts w:ascii="Times New Roman" w:hAnsi="Times New Roman" w:cs="B Nazanin"/>
          <w:sz w:val="24"/>
          <w:szCs w:val="28"/>
          <w:rtl/>
        </w:rPr>
        <w:t xml:space="preserve">2. صحت و اعتبارسنجی</w:t>
      </w:r>
    </w:p>
    <w:p>
      <w:pPr>
        <w:bidi/>
        <w:spacing w:after="120" w:line="360" w:lineRule="auto"/>
        <w:ind w:left="425" w:right="425"/>
        <w:jc w:val="both"/>
      </w:pPr>
      <w:r>
        <w:rPr>
          <w:rFonts w:ascii="Times New Roman" w:hAnsi="Times New Roman" w:cs="B Nazanin"/>
          <w:sz w:val="24"/>
          <w:szCs w:val="28"/>
          <w:rtl/>
        </w:rPr>
        <w:t xml:space="preserve">3. مطالعات پارامتری - 3-1: الگوهای توزیع گرافن - 3-2: تأخیر زمانی لرد-شولمن - 3-3: کسر وزنی گرافن - 3-4: نسبت طول به عرض پلاکت‌های گرافن - 3-5: نسبت عرض به ضخامت پلاکت‌های گرافن - 3-6: زاویهٔ نیم‌رأس مخروط - 3-7: نسبت ضخامت به شعاع میانی - 3-8: نسبت طول به شعاع میانی - 3-9: شرایط مرزی مکانیکی - 3-10: فشار داخلی - 3-11: [...]</w:t>
      </w:r>
    </w:p>
    <w:p>
      <w:pPr>
        <w:pStyle w:val="Heading1"/>
        <w:bidi/>
        <w:spacing w:after="120" w:line="360" w:lineRule="auto"/>
        <w:jc w:val="right"/>
      </w:pPr>
      <w:r>
        <w:rPr>
          <w:rFonts w:ascii="Times New Roman" w:hAnsi="Times New Roman" w:cs="B Nazanin"/>
          <w:b/>
          <w:bCs/>
          <w:sz w:val="28"/>
          <w:szCs w:val="32"/>
          <w:rtl/>
        </w:rPr>
        <w:t xml:space="preserve">صفحه ۴ — ساختار فصل ۴ (پیش‌نویس ما)</w:t>
      </w:r>
    </w:p>
    <w:p>
      <w:pPr>
        <w:bidi/>
        <w:spacing w:after="120" w:line="360" w:lineRule="auto"/>
        <w:jc w:val="both"/>
      </w:pPr>
      <w:r>
        <w:rPr>
          <w:rFonts w:ascii="Times New Roman" w:hAnsi="Times New Roman" w:cs="B Nazanin"/>
          <w:sz w:val="24"/>
          <w:szCs w:val="28"/>
          <w:rtl/>
        </w:rPr>
        <w:t xml:space="preserve">فصل ۴: (پیش‌نویس)</w:t>
      </w:r>
    </w:p>
    <w:p>
      <w:pPr>
        <w:bidi/>
        <w:spacing w:after="120" w:line="360" w:lineRule="auto"/>
        <w:ind w:left="425" w:right="425"/>
        <w:jc w:val="both"/>
      </w:pPr>
      <w:r>
        <w:rPr>
          <w:rFonts w:ascii="Times New Roman" w:hAnsi="Times New Roman" w:cs="B Nazanin"/>
          <w:sz w:val="24"/>
          <w:szCs w:val="28"/>
          <w:rtl/>
        </w:rPr>
        <w:t xml:space="preserve">1. مسئلهٔ مرجع و مؤلفه‌های بی‌بعد (نمودارهای بی‌بعد اینجا آورده می‌شوند)</w:t>
      </w:r>
    </w:p>
    <w:p>
      <w:pPr>
        <w:bidi/>
        <w:spacing w:after="120" w:line="360" w:lineRule="auto"/>
        <w:ind w:left="425" w:right="425"/>
        <w:jc w:val="both"/>
      </w:pPr>
      <w:r>
        <w:rPr>
          <w:rFonts w:ascii="Times New Roman" w:hAnsi="Times New Roman" w:cs="B Nazanin"/>
          <w:sz w:val="24"/>
          <w:szCs w:val="28"/>
          <w:rtl/>
        </w:rPr>
        <w:t xml:space="preserve">2. صحت و اعتبارسنجی</w:t>
      </w:r>
    </w:p>
    <w:p>
      <w:pPr>
        <w:bidi/>
        <w:spacing w:after="120" w:line="360" w:lineRule="auto"/>
        <w:ind w:left="425" w:right="425"/>
        <w:jc w:val="both"/>
      </w:pPr>
      <w:r>
        <w:rPr>
          <w:rFonts w:ascii="Times New Roman" w:hAnsi="Times New Roman" w:cs="B Nazanin"/>
          <w:sz w:val="24"/>
          <w:szCs w:val="28"/>
          <w:rtl/>
        </w:rPr>
        <w:t xml:space="preserve">3. مطالعات پارامتری - 3-1: الگوهای توزیع گرافن - 3-2: الگوهای توزیع تخلخل - 3-3: [سطح/شدت تخلخل؟] - 3-4: کسر وزنی گرافن - 3-5: زمان تخفیف - 3-6: شرایط مرزی مکانیکی - 3-7: فشار داخلی - 3-8: بررسی هم‌زمان الگوهای توزیع گرافن و تخلخل - 3-9: اثر ممزوج بودن معادلات - 3-10: ضریب انتقال حرارت جابجایی سطح خارجی - 3-11: ضخامت جداره - 3-12: تعداد لایه‌ها - 3-13: پاسخ به شوک حرارتی - 3-14: مقایسهٔ روش‌های انتگرال‌گیری زمانی - 3-15: مقایسهٔ روش‌های گسسته‌سازی مکانی - 3-16: مقایسهٔ تئوری‌های تعمیم‌یافته</w:t>
      </w:r>
    </w:p>
    <w:p>
      <w:pPr>
        <w:pStyle w:val="Heading1"/>
        <w:bidi/>
        <w:spacing w:after="120" w:line="360" w:lineRule="auto"/>
        <w:jc w:val="right"/>
      </w:pPr>
      <w:r>
        <w:rPr>
          <w:rFonts w:ascii="Times New Roman" w:hAnsi="Times New Roman" w:cs="B Nazanin"/>
          <w:b/>
          <w:bCs/>
          <w:sz w:val="28"/>
          <w:szCs w:val="32"/>
          <w:rtl/>
        </w:rPr>
        <w:t xml:space="preserve">صفحه ۵ — یادداشت‌های تکمیلی</w:t>
      </w:r>
    </w:p>
    <w:p>
      <w:pPr>
        <w:bidi/>
        <w:spacing w:after="120" w:line="360" w:lineRule="auto"/>
        <w:jc w:val="both"/>
      </w:pPr>
      <w:r>
        <w:rPr>
          <w:rFonts w:ascii="Times New Roman" w:hAnsi="Times New Roman" w:cs="B Nazanin"/>
          <w:sz w:val="24"/>
          <w:szCs w:val="28"/>
          <w:rtl/>
        </w:rPr>
        <w:t xml:space="preserve">- بخش همگرایی و صحت‌سنجی مفصل‌تر شود؛ این دو بخش با نمودار تشریح شوند و از هم جدا نشوند. - در هر بخش، بررسی اثر تغییر پارامترهای هندسی پلاکت‌های گرافنی نیز اضافه شود. - حالت‌های کسر وزنی بین ۲ تا ۴ درصد اضافه شود (W = 2, 2.2, 2.6, 3.5 درصد). - از ساختن معادل فارسیِ نامأنوس برای واژه‌های انگلیسی خودداری شود. برای این منظور ابتدا در متون فارسی جست‌وجو شود؛ اگر یافت نشد از من بپرس. همچنین در صورت امکان، وب‌سایت فرهنگ لغت «واژه‌یاب/برساد [؟]» منبع خوبی است. - می‌توان از مقالات برای تعیین اینکه برای هر بخش چه نمودارهایی بهتر است، بهره گرفت. - در رسم و نمایش نمودارها (مثلاً پارامترهای بی‌بعد یا نمایش لگاریتمی) از این شیوه‌ها بهره گرفته شود.</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