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c03d9fdb7d2e91df4dca69e3dccbb7c81d7f3a"/>
    <w:p>
      <w:pPr>
        <w:pStyle w:val="Heading1"/>
      </w:pPr>
      <w:r>
        <w:t xml:space="preserve">Coupled Lord–Shulman thermoelastic response of multilayer porous GPL-reinforced thick cylinders: a full interaction map of graphene and porosity distribution patterns</w:t>
      </w:r>
    </w:p>
    <w:p>
      <w:pPr>
        <w:pStyle w:val="FirstParagraph"/>
      </w:pPr>
      <w:r>
        <w:rPr>
          <w:b/>
          <w:bCs/>
        </w:rPr>
        <w:t xml:space="preserve">Authors.</w:t>
      </w:r>
      <w:r>
        <w:t xml:space="preserve"> </w:t>
      </w:r>
      <w:r>
        <w:rPr>
          <w:i/>
          <w:iCs/>
        </w:rPr>
        <w:t xml:space="preserve">[Author 1]</w:t>
      </w:r>
      <w:r>
        <w:t xml:space="preserve">ᵃ,</w:t>
      </w:r>
      <w:r>
        <w:t xml:space="preserve"> </w:t>
      </w:r>
      <w:r>
        <w:rPr>
          <w:i/>
          <w:iCs/>
        </w:rPr>
        <w:t xml:space="preserve">[Supervisor 1]</w:t>
      </w:r>
      <w:r>
        <w:t xml:space="preserve">ᵃ,</w:t>
      </w:r>
      <w:r>
        <w:t xml:space="preserve"> </w:t>
      </w:r>
      <w:r>
        <w:rPr>
          <w:i/>
          <w:iCs/>
        </w:rPr>
        <w:t xml:space="preserve">[Supervisor 2]</w:t>
      </w:r>
      <w:r>
        <w:t xml:space="preserve">ᵃ</w:t>
      </w:r>
      <w:r>
        <w:t xml:space="preserve"> </w:t>
      </w:r>
      <w:r>
        <w:t xml:space="preserve">ᵃ Department of Mechanical Engineering, Persian Gulf University, Bushehr, Iran</w:t>
      </w:r>
    </w:p>
    <w:p>
      <w:pPr>
        <w:pStyle w:val="BlockText"/>
      </w:pPr>
      <w:r>
        <w:rPr>
          <w:i/>
          <w:iCs/>
        </w:rPr>
        <w:t xml:space="preserve">Author order and affiliations to be settled with the supervisors before submission.</w:t>
      </w:r>
      <w:r>
        <w:t xml:space="preserve"> </w:t>
      </w:r>
      <w:r>
        <w:rPr>
          <w:i/>
          <w:iCs/>
        </w:rPr>
        <w:t xml:space="preserve">Footnote to add on submission:</w:t>
      </w:r>
      <w:r>
        <w:rPr>
          <w:i/>
          <w:iCs/>
        </w:rPr>
        <w:t xml:space="preserve"> </w:t>
      </w:r>
      <w:r>
        <w:rPr>
          <w:i/>
          <w:iCs/>
        </w:rPr>
        <w:t xml:space="preserve">“This paper is based in part on the first author’s MSc thesis at Persian Gulf University.”</w:t>
      </w:r>
    </w:p>
    <w:p>
      <w:pPr>
        <w:pStyle w:val="FirstParagraph"/>
      </w:pPr>
      <w:r>
        <w:rPr>
          <w:b/>
          <w:bCs/>
        </w:rPr>
        <w:t xml:space="preserve">Target journal.</w:t>
      </w:r>
      <w:r>
        <w:t xml:space="preserve"> </w:t>
      </w:r>
      <w:r>
        <w:rPr>
          <w:i/>
          <w:iCs/>
        </w:rPr>
        <w:t xml:space="preserve">Composite Structures</w:t>
      </w:r>
      <w:r>
        <w:t xml:space="preserve"> </w:t>
      </w:r>
      <w:r>
        <w:t xml:space="preserve">(alternates:</w:t>
      </w:r>
      <w:r>
        <w:t xml:space="preserve"> </w:t>
      </w:r>
      <w:r>
        <w:rPr>
          <w:i/>
          <w:iCs/>
        </w:rPr>
        <w:t xml:space="preserve">Composites Part B</w:t>
      </w:r>
      <w:r>
        <w:t xml:space="preserve">,</w:t>
      </w:r>
      <w:r>
        <w:t xml:space="preserve"> </w:t>
      </w:r>
      <w:r>
        <w:rPr>
          <w:i/>
          <w:iCs/>
        </w:rPr>
        <w:t xml:space="preserve">IJPVP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through-thickness distribution of graphene platelets and the through-thickness</w:t>
      </w:r>
      <w:r>
        <w:t xml:space="preserve"> </w:t>
      </w:r>
      <w:r>
        <w:t xml:space="preserve">distribution of porosity are the two principal design levers available in a porous</w:t>
      </w:r>
      <w:r>
        <w:t xml:space="preserve"> </w:t>
      </w:r>
      <w:r>
        <w:t xml:space="preserve">GPL-reinforced composite, and each has been studied on its own. This paper asks whether</w:t>
      </w:r>
      <w:r>
        <w:t xml:space="preserve"> </w:t>
      </w:r>
      <w:r>
        <w:t xml:space="preserve">they can be chosen independently, and shows that they cannot. A fully coupled</w:t>
      </w:r>
      <w:r>
        <w:t xml:space="preserve"> </w:t>
      </w:r>
      <w:r>
        <w:t xml:space="preserve">Lord–Shulman thermoelastic analysis of a multilayer porous GPL-reinforced thick-walled</w:t>
      </w:r>
      <w:r>
        <w:t xml:space="preserve"> </w:t>
      </w:r>
      <w:r>
        <w:t xml:space="preserve">hollow cylinder is developed, discretized by a layerwise differential quadrature method in</w:t>
      </w:r>
      <w:r>
        <w:t xml:space="preserve"> </w:t>
      </w:r>
      <w:r>
        <w:t xml:space="preserve">the radial and axial directions and marched in time by the Newmark scheme, and verified</w:t>
      </w:r>
      <w:r>
        <w:t xml:space="preserve"> </w:t>
      </w:r>
      <w:r>
        <w:t xml:space="preserve">against five independent references including an exact Fourier–Bessel solution. All</w:t>
      </w:r>
      <w:r>
        <w:t xml:space="preserve"> </w:t>
      </w:r>
      <w:r>
        <w:t xml:space="preserve">twenty-five pairings of five graphene patterns with five porosity patterns are then</w:t>
      </w:r>
      <w:r>
        <w:t xml:space="preserve"> </w:t>
      </w:r>
      <w:r>
        <w:t xml:space="preserve">computed under a combined internal thermal ramp and internal pressure. Porosity pattern A,</w:t>
      </w:r>
      <w:r>
        <w:t xml:space="preserve"> </w:t>
      </w:r>
      <w:r>
        <w:t xml:space="preserve">which concentrates the pores at the cooled outer surface, emerges as a universal thermal</w:t>
      </w:r>
      <w:r>
        <w:t xml:space="preserve"> </w:t>
      </w:r>
      <w:r>
        <w:t xml:space="preserve">barrier: it yields the lowest outer-surface temperature whatever the graphene pattern</w:t>
      </w:r>
      <w:r>
        <w:t xml:space="preserve"> </w:t>
      </w:r>
      <w:r>
        <w:t xml:space="preserve">paired with it, and it flips the inner-surface hoop stress into compression in every one of</w:t>
      </w:r>
      <w:r>
        <w:t xml:space="preserve"> </w:t>
      </w:r>
      <w:r>
        <w:t xml:space="preserve">those five pairings. The best combination overall, graphene pattern V with porosity pattern</w:t>
      </w:r>
      <w:r>
        <w:t xml:space="preserve"> </w:t>
      </w:r>
      <w:r>
        <w:t xml:space="preserve">A, holds the dimensionless outer-surface temperature at 0.034 against the uniform</w:t>
      </w:r>
      <w:r>
        <w:t xml:space="preserve"> </w:t>
      </w:r>
      <w:r>
        <w:t xml:space="preserve">reference’s 0.883 — a twenty-six-fold reduction — at a mildly compressive inner hoop stress</w:t>
      </w:r>
      <w:r>
        <w:t xml:space="preserve"> </w:t>
      </w:r>
      <w:r>
        <w:t xml:space="preserve">of −0.378. The governing mechanism is the alignment or opposition of the two mirror</w:t>
      </w:r>
      <w:r>
        <w:t xml:space="preserve"> </w:t>
      </w:r>
      <w:r>
        <w:t xml:space="preserve">patterns: pairing the same graphene-V with porosity-V, so that both phases crowd the heated</w:t>
      </w:r>
      <w:r>
        <w:t xml:space="preserve"> </w:t>
      </w:r>
      <w:r>
        <w:t xml:space="preserve">inner surface, cancels most of the benefit and returns the outer surface to 0.692.</w:t>
      </w:r>
      <w:r>
        <w:t xml:space="preserve"> </w:t>
      </w:r>
      <w:r>
        <w:t xml:space="preserve">Screening on temperature alone is shown to be unsafe — the pairing of a stiff X-graphene</w:t>
      </w:r>
      <w:r>
        <w:t xml:space="preserve"> </w:t>
      </w:r>
      <w:r>
        <w:t xml:space="preserve">skeleton with an inner-concentrated porosity-V is only moderately hot yet carries the</w:t>
      </w:r>
      <w:r>
        <w:t xml:space="preserve"> </w:t>
      </w:r>
      <w:r>
        <w:t xml:space="preserve">largest hoop stress of the entire matrix, 4.20 at peak. The resulting design chart</w:t>
      </w:r>
      <w:r>
        <w:t xml:space="preserve"> </w:t>
      </w:r>
      <w:r>
        <w:t xml:space="preserve">identifies the corners of the achievable envelope and recommends an outer-concentrated</w:t>
      </w:r>
      <w:r>
        <w:t xml:space="preserve"> </w:t>
      </w:r>
      <w:r>
        <w:t xml:space="preserve">porosity paired with an inner-rich graphene grading for internal thermal-shock protection.</w:t>
      </w:r>
    </w:p>
    <w:p>
      <w:pPr>
        <w:pStyle w:val="BodyText"/>
      </w:pPr>
      <w:r>
        <w:rPr>
          <w:b/>
          <w:bCs/>
        </w:rPr>
        <w:t xml:space="preserve">Keywords.</w:t>
      </w:r>
      <w:r>
        <w:t xml:space="preserve"> </w:t>
      </w:r>
      <w:r>
        <w:t xml:space="preserve">Lord–Shulman thermoelasticity; graphene platelets; functionally graded</w:t>
      </w:r>
      <w:r>
        <w:t xml:space="preserve"> </w:t>
      </w:r>
      <w:r>
        <w:t xml:space="preserve">porosity; layerwise differential quadrature; thick-walled cylinder; thermal shock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rPr>
          <w:i/>
          <w:iCs/>
        </w:rPr>
        <w:t xml:space="preserve">[Target length ≈ 1200 words. Structure below; the author should expand each paragraph with</w:t>
      </w:r>
      <w:r>
        <w:rPr>
          <w:i/>
          <w:iCs/>
        </w:rPr>
        <w:t xml:space="preserve"> </w:t>
      </w:r>
      <w:r>
        <w:rPr>
          <w:i/>
          <w:iCs/>
        </w:rPr>
        <w:t xml:space="preserve">the citations already collected in the thesis bibliography.]</w:t>
      </w:r>
    </w:p>
    <w:p>
      <w:pPr>
        <w:pStyle w:val="BodyText"/>
      </w:pPr>
      <w:r>
        <w:rPr>
          <w:b/>
          <w:bCs/>
        </w:rPr>
        <w:t xml:space="preserve">Paragraph 1 — the material class.</w:t>
      </w:r>
      <w:r>
        <w:t xml:space="preserve"> </w:t>
      </w:r>
      <w:r>
        <w:t xml:space="preserve">Graphene platelets as a reinforcing phase: very high</w:t>
      </w:r>
      <w:r>
        <w:t xml:space="preserve"> </w:t>
      </w:r>
      <w:r>
        <w:t xml:space="preserve">specific modulus and thermal conductivity at low weight fraction, and the percolation</w:t>
      </w:r>
      <w:r>
        <w:t xml:space="preserve"> </w:t>
      </w:r>
      <w:r>
        <w:t xml:space="preserve">behaviour of the effective conductivity that makes small additions disproportionately</w:t>
      </w:r>
      <w:r>
        <w:t xml:space="preserve"> </w:t>
      </w:r>
      <w:r>
        <w:t xml:space="preserve">effective. Cite the experimental basis and the Halpin–Tsai homogenization route.</w:t>
      </w:r>
    </w:p>
    <w:p>
      <w:pPr>
        <w:pStyle w:val="BodyText"/>
      </w:pPr>
      <w:r>
        <w:rPr>
          <w:b/>
          <w:bCs/>
        </w:rPr>
        <w:t xml:space="preserve">Paragraph 2 — porosity as a second, independent grading.</w:t>
      </w:r>
      <w:r>
        <w:t xml:space="preserve"> </w:t>
      </w:r>
      <w:r>
        <w:t xml:space="preserve">Porous metal and polymer</w:t>
      </w:r>
      <w:r>
        <w:t xml:space="preserve"> </w:t>
      </w:r>
      <w:r>
        <w:t xml:space="preserve">foams; the weight saving and energy absorption they buy; the stiffness penalty they cost;</w:t>
      </w:r>
      <w:r>
        <w:t xml:space="preserve"> </w:t>
      </w:r>
      <w:r>
        <w:t xml:space="preserve">and the established idea of</w:t>
      </w:r>
      <w:r>
        <w:t xml:space="preserve"> </w:t>
      </w:r>
      <w:r>
        <w:rPr>
          <w:i/>
          <w:iCs/>
        </w:rPr>
        <w:t xml:space="preserve">grading</w:t>
      </w:r>
      <w:r>
        <w:t xml:space="preserve"> </w:t>
      </w:r>
      <w:r>
        <w:t xml:space="preserve">the porosity through the thickness rather than</w:t>
      </w:r>
      <w:r>
        <w:t xml:space="preserve"> </w:t>
      </w:r>
      <w:r>
        <w:t xml:space="preserve">distributing it uniformly. Note that the GPL phase and the pore phase are usually</w:t>
      </w:r>
      <w:r>
        <w:t xml:space="preserve"> </w:t>
      </w:r>
      <w:r>
        <w:t xml:space="preserve">introduced together precisely because the graphene is there to recover the stiffness the</w:t>
      </w:r>
      <w:r>
        <w:t xml:space="preserve"> </w:t>
      </w:r>
      <w:r>
        <w:t xml:space="preserve">pores gave away.</w:t>
      </w:r>
    </w:p>
    <w:p>
      <w:pPr>
        <w:pStyle w:val="BodyText"/>
      </w:pPr>
      <w:r>
        <w:rPr>
          <w:b/>
          <w:bCs/>
        </w:rPr>
        <w:t xml:space="preserve">Paragraph 3 — why the classical heat equation is not enough here.</w:t>
      </w:r>
      <w:r>
        <w:t xml:space="preserve"> </w:t>
      </w:r>
      <w:r>
        <w:t xml:space="preserve">Fourier conduction is</w:t>
      </w:r>
      <w:r>
        <w:t xml:space="preserve"> </w:t>
      </w:r>
      <w:r>
        <w:t xml:space="preserve">parabolic and therefore implies infinite propagation speed. Under thermal shock, laser</w:t>
      </w:r>
      <w:r>
        <w:t xml:space="preserve"> </w:t>
      </w:r>
      <w:r>
        <w:t xml:space="preserve">pulses or blast loading this is not an admissible idealization. Introduce the generalized</w:t>
      </w:r>
      <w:r>
        <w:t xml:space="preserve"> </w:t>
      </w:r>
      <w:r>
        <w:t xml:space="preserve">theories — Cattaneo–Vernotte flux law, Lord and Shulman’s single relaxation time, and the</w:t>
      </w:r>
      <w:r>
        <w:t xml:space="preserve"> </w:t>
      </w:r>
      <w:r>
        <w:t xml:space="preserve">resulting hyperbolic (</w:t>
      </w:r>
      <w:r>
        <w:t xml:space="preserve">“second sound”</w:t>
      </w:r>
      <w:r>
        <w:t xml:space="preserve">) conduction — and note that Lord–Shulman remains the</w:t>
      </w:r>
      <w:r>
        <w:t xml:space="preserve"> </w:t>
      </w:r>
      <w:r>
        <w:t xml:space="preserve">most used because it adds a single relaxation time and stays thermodynamically consistent.</w:t>
      </w:r>
    </w:p>
    <w:p>
      <w:pPr>
        <w:pStyle w:val="BodyText"/>
      </w:pPr>
      <w:r>
        <w:rPr>
          <w:b/>
          <w:bCs/>
        </w:rPr>
        <w:t xml:space="preserve">Paragraph 4 — what has been done for cylinders and shells.</w:t>
      </w:r>
      <w:r>
        <w:t xml:space="preserve"> </w:t>
      </w:r>
      <w:r>
        <w:t xml:space="preserve">Bagri and Eslami’s unified</w:t>
      </w:r>
      <w:r>
        <w:t xml:space="preserve"> </w:t>
      </w:r>
      <w:r>
        <w:t xml:space="preserve">generalized solution for cylinders and spheres; Malekzadeh and co-workers on transient</w:t>
      </w:r>
      <w:r>
        <w:t xml:space="preserve"> </w:t>
      </w:r>
      <w:r>
        <w:t xml:space="preserve">response of rotating laminated FG cylindrical shells; Heydarpour and co-workers extending</w:t>
      </w:r>
      <w:r>
        <w:t xml:space="preserve"> </w:t>
      </w:r>
      <w:r>
        <w:t xml:space="preserve">Lord–Shulman to GPL-reinforced spherical shells and to multilayered FG spherical shells;</w:t>
      </w:r>
      <w:r>
        <w:t xml:space="preserve"> </w:t>
      </w:r>
      <w:r>
        <w:t xml:space="preserve">the spinning FG-GPLRC Lord–Shulman cylinder. Establish that the individual ingredients are</w:t>
      </w:r>
      <w:r>
        <w:t xml:space="preserve"> </w:t>
      </w:r>
      <w:r>
        <w:t xml:space="preserve">all present in the literature.</w:t>
      </w:r>
    </w:p>
    <w:p>
      <w:pPr>
        <w:pStyle w:val="BodyText"/>
      </w:pPr>
      <w:r>
        <w:rPr>
          <w:b/>
          <w:bCs/>
        </w:rPr>
        <w:t xml:space="preserve">Paragraph 5 — the gap.</w:t>
      </w:r>
      <w:r>
        <w:t xml:space="preserve"> </w:t>
      </w:r>
      <w:r>
        <w:t xml:space="preserve">Individual GPL patterns have been compared. Individual porosity</w:t>
      </w:r>
      <w:r>
        <w:t xml:space="preserve"> </w:t>
      </w:r>
      <w:r>
        <w:t xml:space="preserve">patterns have been compared. What has not been examined is the</w:t>
      </w:r>
      <w:r>
        <w:t xml:space="preserve"> </w:t>
      </w:r>
      <w:r>
        <w:rPr>
          <w:i/>
          <w:iCs/>
        </w:rPr>
        <w:t xml:space="preserve">pair</w:t>
      </w:r>
      <w:r>
        <w:t xml:space="preserve">: whether the effect</w:t>
      </w:r>
      <w:r>
        <w:t xml:space="preserve"> </w:t>
      </w:r>
      <w:r>
        <w:t xml:space="preserve">of a graphene grading survives being placed on a different porosity background, or whether</w:t>
      </w:r>
      <w:r>
        <w:t xml:space="preserve"> </w:t>
      </w:r>
      <w:r>
        <w:t xml:space="preserve">the two gradings interact. For a fully coupled Lord–Shulman, multilayer, porous,</w:t>
      </w:r>
      <w:r>
        <w:t xml:space="preserve"> </w:t>
      </w:r>
      <w:r>
        <w:t xml:space="preserve">GPL-reinforced thick cylinder no such interaction study exists. State the contribution</w:t>
      </w:r>
      <w:r>
        <w:t xml:space="preserve"> </w:t>
      </w:r>
      <w:r>
        <w:t xml:space="preserve">explicitly:</w:t>
      </w:r>
    </w:p>
    <w:p>
      <w:pPr>
        <w:pStyle w:val="Compact"/>
        <w:numPr>
          <w:ilvl w:val="0"/>
          <w:numId w:val="1001"/>
        </w:numPr>
      </w:pPr>
      <w:r>
        <w:t xml:space="preserve">A fully coupled Lord–Shulman thermoelastic formulation for the multilayer porous</w:t>
      </w:r>
      <w:r>
        <w:t xml:space="preserve"> </w:t>
      </w:r>
      <w:r>
        <w:t xml:space="preserve">GPL-reinforced thick-walled cylinder in the (r, z) plane, solved by layerwise</w:t>
      </w:r>
      <w:r>
        <w:t xml:space="preserve"> </w:t>
      </w:r>
      <w:r>
        <w:t xml:space="preserve">differential quadrature and Newmark integration and verified in five independent tests.</w:t>
      </w:r>
    </w:p>
    <w:p>
      <w:pPr>
        <w:pStyle w:val="Compact"/>
        <w:numPr>
          <w:ilvl w:val="0"/>
          <w:numId w:val="1001"/>
        </w:numPr>
      </w:pPr>
      <w:r>
        <w:t xml:space="preserve">The complete 5 × 5 graphene × porosity interaction map under combined thermal and</w:t>
      </w:r>
      <w:r>
        <w:t xml:space="preserve"> </w:t>
      </w:r>
      <w:r>
        <w:t xml:space="preserve">pressure loading, reported in both temperature and stress.</w:t>
      </w:r>
    </w:p>
    <w:p>
      <w:pPr>
        <w:pStyle w:val="Compact"/>
        <w:numPr>
          <w:ilvl w:val="0"/>
          <w:numId w:val="1001"/>
        </w:numPr>
      </w:pPr>
      <w:r>
        <w:t xml:space="preserve">Identification of porosity pattern A as a universal thermal barrier and of the</w:t>
      </w:r>
      <w:r>
        <w:t xml:space="preserve"> </w:t>
      </w:r>
      <w:r>
        <w:t xml:space="preserve">mirror-pattern alignment mechanism that governs the interaction.</w:t>
      </w:r>
    </w:p>
    <w:p>
      <w:pPr>
        <w:pStyle w:val="Compact"/>
        <w:numPr>
          <w:ilvl w:val="0"/>
          <w:numId w:val="1001"/>
        </w:numPr>
      </w:pPr>
      <w:r>
        <w:t xml:space="preserve">A design chart marking the corners of the achievable envelope, including the</w:t>
      </w:r>
      <w:r>
        <w:t xml:space="preserve"> </w:t>
      </w:r>
      <w:r>
        <w:t xml:space="preserve">counter-intuitive case that a temperature-only screening would wrongly pass.</w:t>
      </w:r>
    </w:p>
    <w:p>
      <w:r>
        <w:pict>
          <v:rect style="width:0;height:1.5pt" o:hralign="center" o:hrstd="t" o:hr="t"/>
        </w:pict>
      </w:r>
    </w:p>
    <w:bookmarkEnd w:id="10"/>
    <w:bookmarkStart w:id="14" w:name="problem-formulation"/>
    <w:p>
      <w:pPr>
        <w:pStyle w:val="Heading2"/>
      </w:pPr>
      <w:r>
        <w:t xml:space="preserve">2. Problem formulation</w:t>
      </w:r>
    </w:p>
    <w:bookmarkStart w:id="11" w:name="geometry-and-material-architecture"/>
    <w:p>
      <w:pPr>
        <w:pStyle w:val="Heading3"/>
      </w:pPr>
      <w:r>
        <w:t xml:space="preserve">2.1 Geometry and material architecture</w:t>
      </w:r>
    </w:p>
    <w:p>
      <w:pPr>
        <w:pStyle w:val="FirstParagraph"/>
      </w:pPr>
      <w:r>
        <w:t xml:space="preserve">A hollow circular cylinder of inner radius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outer radius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length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built from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perfectly bonded layers of equal thickness. Within each layer the</w:t>
      </w:r>
      <w:r>
        <w:t xml:space="preserve"> </w:t>
      </w:r>
      <w:r>
        <w:t xml:space="preserve">graphene weight fraction and the porosity coefficient take the values prescribed by the</w:t>
      </w:r>
      <w:r>
        <w:t xml:space="preserve"> </w:t>
      </w:r>
      <w:r>
        <w:t xml:space="preserve">chosen through-thickness pattern, so that a layerwise-constant approximation of a</w:t>
      </w:r>
      <w:r>
        <w:t xml:space="preserve"> </w:t>
      </w:r>
      <w:r>
        <w:t xml:space="preserve">continuous grading is obtained; convergence with respect to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is reported in §5.1.</w:t>
      </w:r>
    </w:p>
    <w:p>
      <w:pPr>
        <w:pStyle w:val="BodyText"/>
      </w:pPr>
      <w:r>
        <w:t xml:space="preserve">The five graphene distribution patterns (UD, O, X, V, A) and the five porosity patterns</w:t>
      </w:r>
      <w:r>
        <w:t xml:space="preserve"> </w:t>
      </w:r>
      <w:r>
        <w:t xml:space="preserve">(UD, O, X, V, A) are defined on the centred through-thickness coordinate. UD is uniform; O</w:t>
      </w:r>
      <w:r>
        <w:t xml:space="preserve"> </w:t>
      </w:r>
      <w:r>
        <w:t xml:space="preserve">concentrates the phase at mid-thickness; X at both surfaces; V at the inner surface; A at</w:t>
      </w:r>
      <w:r>
        <w:t xml:space="preserve"> </w:t>
      </w:r>
      <w:r>
        <w:t xml:space="preserve">the outer surface. V and A are geometric mirror images of one another, and that</w:t>
      </w:r>
      <w:r>
        <w:t xml:space="preserve"> </w:t>
      </w:r>
      <w:r>
        <w:t xml:space="preserve">relationship turns out to drive the central result of this paper.</w:t>
      </w:r>
    </w:p>
    <w:p>
      <w:pPr>
        <w:pStyle w:val="BodyText"/>
      </w:pPr>
      <w:r>
        <w:rPr>
          <w:i/>
          <w:iCs/>
        </w:rPr>
        <w:t xml:space="preserve">[Insert Table 1: the pattern definitions, with the mass-conservation constraint that fixes</w:t>
      </w:r>
      <w:r>
        <w:rPr>
          <w:i/>
          <w:iCs/>
        </w:rPr>
        <w:t xml:space="preserve"> </w:t>
      </w:r>
      <w:r>
        <w:rPr>
          <w:i/>
          <w:iCs/>
        </w:rPr>
        <w:t xml:space="preserve">each pattern’s coefficients so that all patterns carry the same total graphene mass and the</w:t>
      </w:r>
      <w:r>
        <w:rPr>
          <w:i/>
          <w:iCs/>
        </w:rPr>
        <w:t xml:space="preserve"> </w:t>
      </w:r>
      <w:r>
        <w:rPr>
          <w:i/>
          <w:iCs/>
        </w:rPr>
        <w:t xml:space="preserve">same total porosity. Insert Figure 1: schematic of the geometry and the ten patterns —</w:t>
      </w:r>
      <w:r>
        <w:rPr>
          <w:i/>
          <w:iCs/>
        </w:rPr>
        <w:t xml:space="preserve"> </w:t>
      </w:r>
      <w:r>
        <w:rPr>
          <w:i/>
          <w:iCs/>
        </w:rPr>
        <w:t xml:space="preserve">available 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figures_ch123/geometry_schematic.png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GPL_patterns_schematic.png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porosity_patterns_schematic_R7.png</w:t>
      </w:r>
      <w:r>
        <w:rPr>
          <w:i/>
          <w:iCs/>
        </w:rPr>
        <w:t xml:space="preserve">.]</w:t>
      </w:r>
    </w:p>
    <w:bookmarkEnd w:id="11"/>
    <w:bookmarkStart w:id="12" w:name="effective-properties"/>
    <w:p>
      <w:pPr>
        <w:pStyle w:val="Heading3"/>
      </w:pPr>
      <w:r>
        <w:t xml:space="preserve">2.2 Effective properties</w:t>
      </w:r>
    </w:p>
    <w:p>
      <w:pPr>
        <w:pStyle w:val="FirstParagraph"/>
      </w:pPr>
      <w:r>
        <w:t xml:space="preserve">Effective Young modulus by the Halpin–Tsai micromechanical model for randomly oriented</w:t>
      </w:r>
      <w:r>
        <w:t xml:space="preserve"> </w:t>
      </w:r>
      <w:r>
        <w:t xml:space="preserve">platelets, with the platelet geometry entering through the two aspect ratios; effective</w:t>
      </w:r>
      <w:r>
        <w:t xml:space="preserve"> </w:t>
      </w:r>
      <w:r>
        <w:t xml:space="preserve">density and specific heat by the rule of mixtures; effective thermal conductivity by the</w:t>
      </w:r>
      <w:r>
        <w:t xml:space="preserve"> </w:t>
      </w:r>
      <w:r>
        <w:t xml:space="preserve">percolation-type model. The porosity then reduces each property pointwise through the</w:t>
      </w:r>
      <w:r>
        <w:t xml:space="preserve"> </w:t>
      </w:r>
      <w:r>
        <w:t xml:space="preserve">porosity coefficient, with the mass-based relation between the mechanical and the mass</w:t>
      </w:r>
      <w:r>
        <w:t xml:space="preserve"> </w:t>
      </w:r>
      <w:r>
        <w:t xml:space="preserve">porosity coefficients as given in §2.1.</w:t>
      </w:r>
    </w:p>
    <w:p>
      <w:pPr>
        <w:pStyle w:val="BodyText"/>
      </w:pPr>
      <w:r>
        <w:rPr>
          <w:i/>
          <w:iCs/>
        </w:rPr>
        <w:t xml:space="preserve">[Reproduce the property equations from thesis Chapter 3, §3-2 to §3-4. Keep this</w:t>
      </w:r>
      <w:r>
        <w:rPr>
          <w:i/>
          <w:iCs/>
        </w:rPr>
        <w:t xml:space="preserve"> </w:t>
      </w:r>
      <w:r>
        <w:rPr>
          <w:i/>
          <w:iCs/>
        </w:rPr>
        <w:t xml:space="preserve">subsection compact — it is standard — and give the numerical property set in a table.]</w:t>
      </w:r>
    </w:p>
    <w:bookmarkEnd w:id="12"/>
    <w:bookmarkStart w:id="13" w:name="Xa1dd6e1a27caef06dfa14f0b7c70590863f7b13"/>
    <w:p>
      <w:pPr>
        <w:pStyle w:val="Heading3"/>
      </w:pPr>
      <w:r>
        <w:t xml:space="preserve">2.3 Governing equations — Lord–Shulman coupled thermoelasticity</w:t>
      </w:r>
    </w:p>
    <w:p>
      <w:pPr>
        <w:pStyle w:val="FirstParagraph"/>
      </w:pPr>
      <w:r>
        <w:t xml:space="preserve">Axisymmetric deformation with radial and axial displacement components. The equations of</w:t>
      </w:r>
      <w:r>
        <w:t xml:space="preserve"> </w:t>
      </w:r>
      <w:r>
        <w:t xml:space="preserve">motion in cylindrical coordinates, and the Lord–Shulman energy equation obtained by</w:t>
      </w:r>
      <w:r>
        <w:t xml:space="preserve"> </w:t>
      </w:r>
      <w:r>
        <w:t xml:space="preserve">substituting the Cattaneo–Vernotte flux law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acc>
            <m:accPr>
              <m:chr m:val="̇"/>
            </m:accPr>
            <m:e>
              <m:r>
                <m:rPr>
                  <m:sty m:val="bi"/>
                </m:rPr>
                <m:t>q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 </m:t>
          </m:r>
          <m:r>
            <m:rPr>
              <m:sty m:val="p"/>
            </m:rPr>
            <m:t>∇</m:t>
          </m:r>
          <m:r>
            <m:t>T</m:t>
          </m:r>
        </m:oMath>
      </m:oMathPara>
    </w:p>
    <w:p>
      <w:pPr>
        <w:pStyle w:val="FirstParagraph"/>
      </w:pPr>
      <w:r>
        <w:t xml:space="preserve">into the energy balance, giving the hyperbolic coupled energy equation with the relaxation</w:t>
      </w:r>
      <w:r>
        <w:t xml:space="preserve"> </w:t>
      </w:r>
      <w:r>
        <w:t xml:space="preserve">time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multiplying both the second time derivative of temperature and the</w:t>
      </w:r>
      <w:r>
        <w:t xml:space="preserve"> </w:t>
      </w:r>
      <w:r>
        <w:t xml:space="preserve">dilatation-rate coupling term. Setting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recovers classical coupled</w:t>
      </w:r>
      <w:r>
        <w:t xml:space="preserve"> </w:t>
      </w:r>
      <w:r>
        <w:t xml:space="preserve">thermoelasticity, which is used as a comparison case.</w:t>
      </w:r>
    </w:p>
    <w:p>
      <w:pPr>
        <w:pStyle w:val="BodyText"/>
      </w:pPr>
      <w:r>
        <w:rPr>
          <w:i/>
          <w:iCs/>
        </w:rPr>
        <w:t xml:space="preserve">[Reproduce equations from thesis §3-5 and §3-6, in the paper’s own notation. State the</w:t>
      </w:r>
      <w:r>
        <w:rPr>
          <w:i/>
          <w:iCs/>
        </w:rPr>
        <w:t xml:space="preserve"> </w:t>
      </w:r>
      <w:r>
        <w:rPr>
          <w:i/>
          <w:iCs/>
        </w:rPr>
        <w:t xml:space="preserve">full initial and boundary conditions: inner-surface temperature ramp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sup>
        </m:sSup>
        <m:r>
          <m:rPr>
            <m:sty m:val="p"/>
          </m:rPr>
          <m:t>)</m:t>
        </m:r>
      </m:oMath>
      <w:r>
        <w:rPr>
          <w:i/>
          <w:iCs/>
        </w:rPr>
        <w:t xml:space="preserve">, inner pressure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, outer-surface</w:t>
      </w:r>
      <w:r>
        <w:rPr>
          <w:i/>
          <w:iCs/>
        </w:rPr>
        <w:t xml:space="preserve"> </w:t>
      </w:r>
      <w:r>
        <w:rPr>
          <w:i/>
          <w:iCs/>
        </w:rPr>
        <w:t xml:space="preserve">convection to ambient with coefficient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</m:oMath>
      <w:r>
        <w:rPr>
          <w:i/>
          <w:iCs/>
        </w:rPr>
        <w:t xml:space="preserve">, and the end conditions.]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solution-method"/>
    <w:p>
      <w:pPr>
        <w:pStyle w:val="Heading2"/>
      </w:pPr>
      <w:r>
        <w:t xml:space="preserve">3. Solution method</w:t>
      </w:r>
    </w:p>
    <w:bookmarkStart w:id="15" w:name="X6798bcb0a4c5c20a7a25a87847c3baa07fe4318"/>
    <w:p>
      <w:pPr>
        <w:pStyle w:val="Heading3"/>
      </w:pPr>
      <w:r>
        <w:t xml:space="preserve">3.1 Layerwise differential quadrature discretization</w:t>
      </w:r>
    </w:p>
    <w:p>
      <w:pPr>
        <w:pStyle w:val="FirstParagraph"/>
      </w:pPr>
      <w:r>
        <w:t xml:space="preserve">Each layer is discretized independently by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Chebyshev–Gauss–Lobatto points in the</w:t>
      </w:r>
      <w:r>
        <w:t xml:space="preserve"> </w:t>
      </w:r>
      <w:r>
        <w:t xml:space="preserve">radial direction, with</w:t>
      </w:r>
      <w: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Chebyshev points shared in the axial direction. Derivatives at</w:t>
      </w:r>
      <w:r>
        <w:t xml:space="preserve"> </w:t>
      </w:r>
      <w:r>
        <w:t xml:space="preserve">each node are written as weighted sums of all nodal values along the corresponding line,</w:t>
      </w:r>
      <w:r>
        <w:t xml:space="preserve"> </w:t>
      </w:r>
      <w:r>
        <w:t xml:space="preserve">with weighting coefficients from the Lagrange-polynomial formulation. Continuity of</w:t>
      </w:r>
      <w:r>
        <w:t xml:space="preserve"> </w:t>
      </w:r>
      <w:r>
        <w:t xml:space="preserve">temperature, heat flux, displacement and traction is imposed at each interlayer interface;</w:t>
      </w:r>
      <w:r>
        <w:t xml:space="preserve"> </w:t>
      </w:r>
      <w:r>
        <w:t xml:space="preserve">the boundary and interface conditions enter as algebraic constraint rows.</w:t>
      </w:r>
    </w:p>
    <w:bookmarkEnd w:id="15"/>
    <w:bookmarkStart w:id="16" w:name="time-integration-and-system-solution"/>
    <w:p>
      <w:pPr>
        <w:pStyle w:val="Heading3"/>
      </w:pPr>
      <w:r>
        <w:t xml:space="preserve">3.2 Time integration and system solution</w:t>
      </w:r>
    </w:p>
    <w:p>
      <w:pPr>
        <w:pStyle w:val="FirstParagraph"/>
      </w:pPr>
      <w:r>
        <w:t xml:space="preserve">The semi-discrete system takes the form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̈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C</m:t>
        </m:r>
        <m:acc>
          <m:accPr>
            <m:chr m:val="̇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K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unknown vector collecting the nodal temperatures and the two displacement</w:t>
      </w:r>
      <w:r>
        <w:t xml:space="preserve"> </w:t>
      </w:r>
      <w:r>
        <w:t xml:space="preserve">components. Boundary and interface rows are algebraic (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those rows). The Newmark scheme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(no numerical damping) is</w:t>
      </w:r>
      <w:r>
        <w:t xml:space="preserve"> </w:t>
      </w:r>
      <w:r>
        <w:t xml:space="preserve">used throughout. Because the effective stiffness matrix is constant for a fixed time step,</w:t>
      </w:r>
      <w:r>
        <w:t xml:space="preserve"> </w:t>
      </w:r>
      <w:r>
        <w:t xml:space="preserve">it is factorized once before the time loop. Each equation row is equilibrated before</w:t>
      </w:r>
      <w:r>
        <w:t xml:space="preserve"> </w:t>
      </w:r>
      <w:r>
        <w:t xml:space="preserve">factorization — the thermal rows, the mechanical rows and the constraint rows differ by</w:t>
      </w:r>
      <w:r>
        <w:t xml:space="preserve"> </w:t>
      </w:r>
      <w:r>
        <w:t xml:space="preserve">many orders of magnitude in scale — which reduces the condition number by several orders</w:t>
      </w:r>
      <w:r>
        <w:t xml:space="preserve"> </w:t>
      </w:r>
      <w:r>
        <w:t xml:space="preserve">and is essential for an accurate solution of this strongly heterogeneous coupled system.</w:t>
      </w:r>
    </w:p>
    <w:p>
      <w:pPr>
        <w:pStyle w:val="BodyText"/>
      </w:pPr>
      <w:r>
        <w:rPr>
          <w:i/>
          <w:iCs/>
        </w:rPr>
        <w:t xml:space="preserve">[Insert Figure 2: solution flowchart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figures_ch123/solution_flowchart.png</w:t>
      </w:r>
      <w:r>
        <w:rPr>
          <w:i/>
          <w:iCs/>
        </w:rPr>
        <w:t xml:space="preserve">.]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verification"/>
    <w:p>
      <w:pPr>
        <w:pStyle w:val="Heading2"/>
      </w:pPr>
      <w:r>
        <w:t xml:space="preserve">4. Verification</w:t>
      </w:r>
    </w:p>
    <w:p>
      <w:pPr>
        <w:pStyle w:val="FirstParagraph"/>
      </w:pPr>
      <w:r>
        <w:t xml:space="preserve">Five independent verification tests are reported; the full details belong in an appendix.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Static limit of the dynamic assembly</w:t>
            </w:r>
          </w:p>
        </w:tc>
        <w:tc>
          <w:tcPr/>
          <w:p>
            <w:pPr>
              <w:pStyle w:val="Compact"/>
            </w:pPr>
            <w:r>
              <w:t xml:space="preserve">Independent static solver</w:t>
            </w:r>
          </w:p>
        </w:tc>
        <w:tc>
          <w:tcPr/>
          <w:p>
            <w:pPr>
              <w:pStyle w:val="Compact"/>
            </w:pPr>
            <w:r>
              <w:t xml:space="preserve">max displacement difference 2 × 10⁻¹¹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Dynamic mechanical response</w:t>
            </w:r>
          </w:p>
        </w:tc>
        <w:tc>
          <w:tcPr/>
          <w:p>
            <w:pPr>
              <w:pStyle w:val="Compact"/>
            </w:pPr>
            <w:r>
              <w:t xml:space="preserve">Malekzadeh et al., and the ANSYS column reported there</w:t>
            </w:r>
          </w:p>
        </w:tc>
        <w:tc>
          <w:tcPr/>
          <w:p>
            <w:pPr>
              <w:pStyle w:val="Compact"/>
            </w:pPr>
            <w:r>
              <w:t xml:space="preserve">within 0.1–0.2 %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Transient conduction</w:t>
            </w:r>
          </w:p>
        </w:tc>
        <w:tc>
          <w:tcPr/>
          <w:p>
            <w:pPr>
              <w:pStyle w:val="Compact"/>
            </w:pPr>
            <w:r>
              <w:t xml:space="preserve">Exact Bessel-series solution</w:t>
            </w:r>
          </w:p>
        </w:tc>
        <w:tc>
          <w:tcPr/>
          <w:p>
            <w:pPr>
              <w:pStyle w:val="Compact"/>
            </w:pPr>
            <w:r>
              <w:t xml:space="preserve">relative error 9 × 10⁻⁵ → 1 × 10⁻⁷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Time integration</w:t>
            </w:r>
          </w:p>
        </w:tc>
        <w:tc>
          <w:tcPr/>
          <w:p>
            <w:pPr>
              <w:pStyle w:val="Compact"/>
            </w:pPr>
            <w:r>
              <w:t xml:space="preserve">Adaptive stiff solver (NDF/BDF)</w:t>
            </w:r>
          </w:p>
        </w:tc>
        <w:tc>
          <w:tcPr/>
          <w:p>
            <w:pPr>
              <w:pStyle w:val="Compact"/>
            </w:pPr>
            <w:r>
              <w:t xml:space="preserve">agreement to 3 × 10⁻⁴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Second-sound wave propagation</w:t>
            </w:r>
          </w:p>
        </w:tc>
        <w:tc>
          <w:tcPr/>
          <w:p>
            <w:pPr>
              <w:pStyle w:val="Compact"/>
            </w:pPr>
            <w:r>
              <w:t xml:space="preserve">Exact Fourier–Bessel eigenfunction solution</w:t>
            </w:r>
          </w:p>
        </w:tc>
        <w:tc>
          <w:tcPr/>
          <w:p>
            <w:pPr>
              <w:pStyle w:val="Compact"/>
            </w:pPr>
            <w:r>
              <w:t xml:space="preserve">0.32 % pointwise, 0.065 % L₂</w:t>
            </w:r>
          </w:p>
        </w:tc>
      </w:tr>
    </w:tbl>
    <w:p>
      <w:pPr>
        <w:pStyle w:val="BodyText"/>
      </w:pPr>
      <w:r>
        <w:t xml:space="preserve">Test 5 deserves emphasis because the thermal wave is the central physical feature of the</w:t>
      </w:r>
      <w:r>
        <w:t xml:space="preserve"> </w:t>
      </w:r>
      <w:r>
        <w:t xml:space="preserve">model. The exact reference is constructed for the solver’s own geometry by an</w:t>
      </w:r>
      <w:r>
        <w:t xml:space="preserve"> </w:t>
      </w:r>
      <w:r>
        <w:t xml:space="preserve">eigenfunction expansion in which each modal amplitude obeys a damped-oscillator equation</w:t>
      </w:r>
      <w:r>
        <w:t xml:space="preserve"> </w:t>
      </w:r>
      <w:r>
        <w:t xml:space="preserve">solved analytically, so the reference carries no time discretization. It was itself</w:t>
      </w:r>
      <w:r>
        <w:t xml:space="preserve"> </w:t>
      </w:r>
      <w:r>
        <w:t xml:space="preserve">verified before use — steady-state limit to 1.9 × 10⁻¹⁶ of ΔT, strict hyperbolic causality</w:t>
      </w:r>
      <w:r>
        <w:t xml:space="preserve"> </w:t>
      </w:r>
      <w:r>
        <w:t xml:space="preserve">ahead of the front to 4 × 10⁻⁶, and front-jump ratios matching the analytic ray law to</w:t>
      </w:r>
      <w:r>
        <w:t xml:space="preserve"> </w:t>
      </w:r>
      <w:r>
        <w:t xml:space="preserve">0.16 %. Against it the solver’s error falls monotonically under refinement, which also</w:t>
      </w:r>
      <w:r>
        <w:t xml:space="preserve"> </w:t>
      </w:r>
      <w:r>
        <w:t xml:space="preserve">establishes that the small oscillations trailing the sharp front are a Gibbs artefact of</w:t>
      </w:r>
      <w:r>
        <w:t xml:space="preserve"> </w:t>
      </w:r>
      <w:r>
        <w:t xml:space="preserve">the spectral discretization rather than a physical instability. They are left unfiltered</w:t>
      </w:r>
      <w:r>
        <w:t xml:space="preserve"> </w:t>
      </w:r>
      <w:r>
        <w:t xml:space="preserve">throughout the paper so that no result is presented after manipulation.</w:t>
      </w:r>
    </w:p>
    <w:p>
      <w:pPr>
        <w:pStyle w:val="BodyText"/>
      </w:pPr>
      <w:r>
        <w:rPr>
          <w:i/>
          <w:iCs/>
        </w:rPr>
        <w:t xml:space="preserve">[Insert Figure 3: solver vs exact second-sound comparison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figures_validation/ls_wave_validation_R1.png</w:t>
      </w:r>
      <w:r>
        <w:rPr>
          <w:i/>
          <w:iCs/>
        </w:rPr>
        <w:t xml:space="preserve">.]</w:t>
      </w:r>
    </w:p>
    <w:p>
      <w:r>
        <w:pict>
          <v:rect style="width:0;height:1.5pt" o:hralign="center" o:hrstd="t" o:hr="t"/>
        </w:pict>
      </w:r>
    </w:p>
    <w:bookmarkEnd w:id="18"/>
    <w:bookmarkStart w:id="27" w:name="results-and-discussion"/>
    <w:p>
      <w:pPr>
        <w:pStyle w:val="Heading2"/>
      </w:pPr>
      <w:r>
        <w:t xml:space="preserve">5. Results and discussion</w:t>
      </w:r>
    </w:p>
    <w:bookmarkStart w:id="19" w:name="X4578db2d6a4d8162caac09e6af9a89d8075c7bd"/>
    <w:p>
      <w:pPr>
        <w:pStyle w:val="Heading3"/>
      </w:pPr>
      <w:r>
        <w:t xml:space="preserve">5.0 Reference case and dimensionless quantities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m,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m (radius ratio 1.5, wall thickness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m),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2.1</m:t>
        </m:r>
      </m:oMath>
      <w:r>
        <w:t xml:space="preserve"> </w:t>
      </w:r>
      <w:r>
        <w:t xml:space="preserve">m,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layers, uniform graphene at</w:t>
      </w:r>
      <w:r>
        <w:t xml:space="preserve"> </w:t>
      </w:r>
      <m:oMath>
        <m:sSub>
          <m:e>
            <m:r>
              <m:t>W</m:t>
            </m:r>
          </m:e>
          <m:sub>
            <m:r>
              <m:t>G</m:t>
            </m:r>
            <m:r>
              <m:t>P</m:t>
            </m:r>
            <m:r>
              <m:t>L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and uniform porosity at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  <m:r>
              <m:t>3</m:t>
            </m:r>
          </m:sub>
        </m:sSub>
        <m:r>
          <m:rPr>
            <m:sty m:val="p"/>
          </m:rPr>
          <m:t>=</m:t>
        </m:r>
        <m:r>
          <m:t>0.8604</m:t>
        </m:r>
      </m:oMath>
      <w:r>
        <w:t xml:space="preserve">, Lord–Shulman theory at dimensionless relaxation time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0.15</m:t>
        </m:r>
      </m:oMath>
      <w:r>
        <w:t xml:space="preserve">,</w:t>
      </w:r>
      <w:r>
        <w:t xml:space="preserve"> </w:t>
      </w:r>
      <w:r>
        <w:t xml:space="preserve">fully coupled, both ends simply supported. The inner surface is ramped from 300 K to 600 K</w:t>
      </w:r>
      <w:r>
        <w:t xml:space="preserve"> </w:t>
      </w:r>
      <w:r>
        <w:t xml:space="preserve">with time constant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 while carrying an internal pressure of 50 MPa; the outer</w:t>
      </w:r>
      <w:r>
        <w:t xml:space="preserve"> </w:t>
      </w:r>
      <w:r>
        <w:t xml:space="preserve">surface convects to a 300 K environment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W/m²K. Discretization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per layer,</w:t>
      </w:r>
      <w: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 to 3000 s.</w:t>
      </w:r>
    </w:p>
    <w:p>
      <w:pPr>
        <w:pStyle w:val="BodyText"/>
      </w:pPr>
      <w:r>
        <w:t xml:space="preserve">Results are reported dimensionlessly with the wall thickness as length scale:</w:t>
      </w:r>
      <w:r>
        <w:t xml:space="preserve"> </w:t>
      </w:r>
      <m:oMath>
        <m:r>
          <m:t>F</m:t>
        </m:r>
        <m:r>
          <m:t>o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α</m:t>
            </m:r>
          </m:e>
        </m:acc>
        <m:r>
          <m:t>t</m:t>
        </m:r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,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</m:oMath>
      <w:r>
        <w:t xml:space="preserve">,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ν</m:t>
        </m:r>
        <m:r>
          <m:rPr>
            <m:sty m:val="p"/>
          </m:rPr>
          <m:t>)</m:t>
        </m:r>
        <m:r>
          <m:t>α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ν</m:t>
        </m:r>
        <m:r>
          <m:rPr>
            <m:sty m:val="p"/>
          </m:rPr>
          <m:t>)</m:t>
        </m:r>
        <m:r>
          <m:t>σ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E</m:t>
        </m:r>
        <m:r>
          <m:t>α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=</m:t>
        </m:r>
        <m:r>
          <m:t>8.97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m²/s. Since the inner surface is raised to twice</w:t>
      </w:r>
      <w:r>
        <w:t xml:space="preserve"> </w:t>
      </w:r>
      <w:r>
        <w:t xml:space="preserve">the ambient temperature, the inner boundary is at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any excursion above unity</w:t>
      </w:r>
      <w:r>
        <w:t xml:space="preserve"> </w:t>
      </w:r>
      <w:r>
        <w:t xml:space="preserve">is a genuine overshoot produced by the reflected thermal wave.</w:t>
      </w:r>
    </w:p>
    <w:p>
      <w:pPr>
        <w:pStyle w:val="BodyText"/>
      </w:pPr>
      <w:r>
        <w:rPr>
          <w:i/>
          <w:iCs/>
        </w:rPr>
        <w:t xml:space="preserve">[Insert Table 2 — the dimensionless definitions, from thesis Table 4-1.]</w:t>
      </w:r>
    </w:p>
    <w:bookmarkEnd w:id="19"/>
    <w:bookmarkStart w:id="20" w:name="convergence"/>
    <w:p>
      <w:pPr>
        <w:pStyle w:val="Heading3"/>
      </w:pPr>
      <w:r>
        <w:t xml:space="preserve">5.1 Convergence</w:t>
      </w:r>
    </w:p>
    <w:p>
      <w:pPr>
        <w:pStyle w:val="FirstParagraph"/>
      </w:pPr>
      <w:r>
        <w:t xml:space="preserve">Convergence is established independently in each direction: radial (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≥</m:t>
        </m:r>
        <m:r>
          <m:t>7</m:t>
        </m:r>
      </m:oMath>
      <w:r>
        <w:t xml:space="preserve">), axial</w:t>
      </w:r>
      <w:r>
        <w:t xml:space="preserve"> </w:t>
      </w:r>
      <w:r>
        <w:t xml:space="preserve">(the binding direction —</w:t>
      </w:r>
      <w: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still carries a 9.4 % error, converged by</w:t>
      </w:r>
      <w: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),</w:t>
      </w:r>
      <w:r>
        <w:t xml:space="preserve"> </w:t>
      </w:r>
      <w:r>
        <w:t xml:space="preserve">layers (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≥</m:t>
        </m:r>
        <m:r>
          <m:t>3</m:t>
        </m:r>
      </m:oMath>
      <w:r>
        <w:t xml:space="preserve">–5) and time step (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s). The axial direction being the</w:t>
      </w:r>
      <w:r>
        <w:t xml:space="preserve"> </w:t>
      </w:r>
      <w:r>
        <w:t xml:space="preserve">binding one is worth stating explicitly, since radial refinement is where effort is usually</w:t>
      </w:r>
      <w:r>
        <w:t xml:space="preserve"> </w:t>
      </w:r>
      <w:r>
        <w:t xml:space="preserve">spent in this class of problem.</w:t>
      </w:r>
    </w:p>
    <w:bookmarkEnd w:id="20"/>
    <w:bookmarkStart w:id="21" w:name="Xcb55f1a325f7ed187063f9067851a95924647e7"/>
    <w:p>
      <w:pPr>
        <w:pStyle w:val="Heading3"/>
      </w:pPr>
      <w:r>
        <w:t xml:space="preserve">5.2 The graphene pattern on a uniform porosity background</w:t>
      </w:r>
    </w:p>
    <w:p>
      <w:pPr>
        <w:pStyle w:val="FirstParagraph"/>
      </w:pPr>
      <w:r>
        <w:t xml:space="preserve">On the uniform porosity background the five graphene patterns order by outer-surface</w:t>
      </w:r>
      <w:r>
        <w:t xml:space="preserve"> </w:t>
      </w:r>
      <w:r>
        <w:t xml:space="preserve">temperature as V (0.587) &lt; X (0.700) &lt; O (0.805) &lt; UD (0.883) &lt; A (0.896). Pattern V — the</w:t>
      </w:r>
      <w:r>
        <w:t xml:space="preserve"> </w:t>
      </w:r>
      <w:r>
        <w:t xml:space="preserve">conductive phase concentrated at the heated inner surface — is the coolest at the outer</w:t>
      </w:r>
      <w:r>
        <w:t xml:space="preserve"> </w:t>
      </w:r>
      <w:r>
        <w:t xml:space="preserve">wall, and pattern A the hottest. The mechanism is straightforward: a conductive inner layer</w:t>
      </w:r>
      <w:r>
        <w:t xml:space="preserve"> </w:t>
      </w:r>
      <w:r>
        <w:t xml:space="preserve">spreads the incoming heat quickly over a larger volume of material before it can reach the</w:t>
      </w:r>
      <w:r>
        <w:t xml:space="preserve"> </w:t>
      </w:r>
      <w:r>
        <w:t xml:space="preserve">outer wall, whereas concentrating the conductive phase at the outer surface provides a</w:t>
      </w:r>
      <w:r>
        <w:t xml:space="preserve"> </w:t>
      </w:r>
      <w:r>
        <w:t xml:space="preserve">direct path for the heat to arrive there.</w:t>
      </w:r>
    </w:p>
    <w:p>
      <w:pPr>
        <w:pStyle w:val="BodyText"/>
      </w:pPr>
      <w:r>
        <w:rPr>
          <w:i/>
          <w:iCs/>
        </w:rPr>
        <w:t xml:space="preserve">[Figure 4: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figures_ch4_color/A_GPL_patterns.png</w:t>
      </w:r>
      <w:r>
        <w:rPr>
          <w:i/>
          <w:iCs/>
        </w:rPr>
        <w:t xml:space="preserve"> </w:t>
      </w:r>
      <w:r>
        <w:rPr>
          <w:i/>
          <w:iCs/>
        </w:rPr>
        <w:t xml:space="preserve">— 4-panel T</w:t>
      </w:r>
      <w:r>
        <w:rPr>
          <w:i/>
          <w:i/>
          <w:iCs/>
          <w:iCs/>
        </w:rPr>
        <w:t xml:space="preserve">(Fo), U</w:t>
      </w:r>
      <w:r>
        <w:rPr>
          <w:i/>
          <w:iCs/>
        </w:rPr>
        <w:t xml:space="preserve">(Fo), T*(ξ), Σ_θθ(ξ).]</w:t>
      </w:r>
    </w:p>
    <w:bookmarkEnd w:id="21"/>
    <w:bookmarkStart w:id="22" w:name="X32d8ff7e61a1eee42595ddc49408d4ba3c5d3ab"/>
    <w:p>
      <w:pPr>
        <w:pStyle w:val="Heading3"/>
      </w:pPr>
      <w:r>
        <w:t xml:space="preserve">5.3 The porosity pattern on a uniform graphene background</w:t>
      </w:r>
    </w:p>
    <w:p>
      <w:pPr>
        <w:pStyle w:val="FirstParagraph"/>
      </w:pPr>
      <w:r>
        <w:t xml:space="preserve">The porosity pattern is by far the stronger lever. On the uniform graphene background the</w:t>
      </w:r>
      <w:r>
        <w:t xml:space="preserve"> </w:t>
      </w:r>
      <w:r>
        <w:t xml:space="preserve">outer-surface temperature ranges from 0.107 for pattern A to 0.883 for uniform porosity —</w:t>
      </w:r>
      <w:r>
        <w:t xml:space="preserve"> </w:t>
      </w:r>
      <w:r>
        <w:t xml:space="preserve">almost an order of magnitude, against the graphene patterns’ factor of 1.5. Pattern A, with</w:t>
      </w:r>
      <w:r>
        <w:t xml:space="preserve"> </w:t>
      </w:r>
      <w:r>
        <w:t xml:space="preserve">the pores concentrated at the cooled outer surface, acts as an insulating skin exactly where</w:t>
      </w:r>
      <w:r>
        <w:t xml:space="preserve"> </w:t>
      </w:r>
      <w:r>
        <w:t xml:space="preserve">the heat is trying to leave.</w:t>
      </w:r>
    </w:p>
    <w:p>
      <w:pPr>
        <w:pStyle w:val="BodyText"/>
      </w:pPr>
      <w:r>
        <w:t xml:space="preserve">Pattern V is the interesting counter-case: it produces the</w:t>
      </w:r>
      <w:r>
        <w:t xml:space="preserve"> </w:t>
      </w:r>
      <w:r>
        <w:rPr>
          <w:i/>
          <w:iCs/>
        </w:rPr>
        <w:t xml:space="preserve">highest</w:t>
      </w:r>
      <w:r>
        <w:t xml:space="preserve"> </w:t>
      </w:r>
      <w:r>
        <w:t xml:space="preserve">mid-wall temperature</w:t>
      </w:r>
      <w:r>
        <w:t xml:space="preserve"> </w:t>
      </w:r>
      <w:r>
        <w:t xml:space="preserve">of any single-pattern case,</w:t>
      </w:r>
      <w:r>
        <w:t xml:space="preserve"> </w:t>
      </w:r>
      <m:oMath>
        <m:sSubSup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1.109</m:t>
        </m:r>
      </m:oMath>
      <w:r>
        <w:t xml:space="preserve">, a genuine overshoot above the inner-surface</w:t>
      </w:r>
      <w:r>
        <w:t xml:space="preserve"> </w:t>
      </w:r>
      <w:r>
        <w:t xml:space="preserve">value, because the pore-rich inner region both insulates and, having low thermal inertia,</w:t>
      </w:r>
      <w:r>
        <w:t xml:space="preserve"> </w:t>
      </w:r>
      <w:r>
        <w:t xml:space="preserve">heats rapidly — so the thermal wave that eventually propagates outward starts from a hotter</w:t>
      </w:r>
      <w:r>
        <w:t xml:space="preserve"> </w:t>
      </w:r>
      <w:r>
        <w:t xml:space="preserve">launch point.</w:t>
      </w:r>
    </w:p>
    <w:p>
      <w:pPr>
        <w:pStyle w:val="BodyText"/>
      </w:pPr>
      <w:r>
        <w:rPr>
          <w:i/>
          <w:iCs/>
        </w:rPr>
        <w:t xml:space="preserve">[Figure 5: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figures_ch4_color/B_porosity_patterns.png</w:t>
      </w:r>
      <w:r>
        <w:rPr>
          <w:i/>
          <w:iCs/>
        </w:rPr>
        <w:t xml:space="preserve">.]</w:t>
      </w:r>
    </w:p>
    <w:bookmarkEnd w:id="22"/>
    <w:bookmarkStart w:id="23" w:name="the-full-interaction-matrix"/>
    <w:p>
      <w:pPr>
        <w:pStyle w:val="Heading3"/>
      </w:pPr>
      <w:r>
        <w:t xml:space="preserve">5.4 The full interaction matrix</w:t>
      </w:r>
    </w:p>
    <w:p>
      <w:pPr>
        <w:pStyle w:val="FirstParagraph"/>
      </w:pPr>
      <w:r>
        <w:t xml:space="preserve">All twenty-five pairings were computed. Two results dominate.</w:t>
      </w:r>
    </w:p>
    <w:p>
      <w:pPr>
        <w:pStyle w:val="BodyText"/>
      </w:pPr>
      <w:r>
        <w:rPr>
          <w:b/>
          <w:bCs/>
        </w:rPr>
        <w:t xml:space="preserve">Porosity-A is a universal thermal barrier.</w:t>
      </w:r>
      <w:r>
        <w:t xml:space="preserve"> </w:t>
      </w:r>
      <w:r>
        <w:t xml:space="preserve">Reading down the porosity-A column, the</w:t>
      </w:r>
      <w:r>
        <w:t xml:space="preserve"> </w:t>
      </w:r>
      <w:r>
        <w:t xml:space="preserve">outer-surface temperatures for graphene patterns UD, O, X, V and A are 0.107, 0.064, 0.116,</w:t>
      </w:r>
      <w:r>
        <w:t xml:space="preserve"> </w:t>
      </w:r>
      <w:r>
        <w:t xml:space="preserve">0.034 and 0.134. Every one of the five is far below the uniform reference’s 0.883,</w:t>
      </w:r>
      <w:r>
        <w:t xml:space="preserve"> </w:t>
      </w:r>
      <w:r>
        <w:t xml:space="preserve">regardless of what the graphene phase is doing. The porosity grading, in other words, sets</w:t>
      </w:r>
      <w:r>
        <w:t xml:space="preserve"> </w:t>
      </w:r>
      <w:r>
        <w:t xml:space="preserve">the ceiling; the graphene grading then decides where within that much lower band the design</w:t>
      </w:r>
      <w:r>
        <w:t xml:space="preserve"> </w:t>
      </w:r>
      <w:r>
        <w:t xml:space="preserve">lands.</w:t>
      </w:r>
    </w:p>
    <w:p>
      <w:pPr>
        <w:pStyle w:val="BodyText"/>
      </w:pPr>
      <w:r>
        <w:rPr>
          <w:b/>
          <w:bCs/>
        </w:rPr>
        <w:t xml:space="preserve">The same column flips the inner hoop stress into compression.</w:t>
      </w:r>
      <w:r>
        <w:t xml:space="preserve"> </w:t>
      </w:r>
      <w:r>
        <w:t xml:space="preserve">The inner-surface hoop</w:t>
      </w:r>
      <w:r>
        <w:t xml:space="preserve"> </w:t>
      </w:r>
      <w:r>
        <w:t xml:space="preserve">stresses along the porosity-A column are −0.359, −0.372, −0.343, −0.378 and −0.328 — all</w:t>
      </w:r>
      <w:r>
        <w:t xml:space="preserve"> </w:t>
      </w:r>
      <w:r>
        <w:t xml:space="preserve">compressive, against +1.526 for the uniform reference. This is a second, independent reason</w:t>
      </w:r>
      <w:r>
        <w:t xml:space="preserve"> </w:t>
      </w:r>
      <w:r>
        <w:t xml:space="preserve">to prefer an outer-concentrated porosity: it removes the tensile inner-surface hoop stress</w:t>
      </w:r>
      <w:r>
        <w:t xml:space="preserve"> </w:t>
      </w:r>
      <w:r>
        <w:t xml:space="preserve">that would otherwise drive crack initiation at the bore. To the authors’ knowledge this</w:t>
      </w:r>
      <w:r>
        <w:t xml:space="preserve"> </w:t>
      </w:r>
      <w:r>
        <w:t xml:space="preserve">uniformity across the column has not been reported.</w:t>
      </w:r>
    </w:p>
    <w:p>
      <w:pPr>
        <w:pStyle w:val="BodyText"/>
      </w:pPr>
      <w:r>
        <w:rPr>
          <w:b/>
          <w:bCs/>
        </w:rPr>
        <w:t xml:space="preserve">The mirror-pattern mechanism.</w:t>
      </w:r>
      <w:r>
        <w:t xml:space="preserve"> </w:t>
      </w:r>
      <w:r>
        <w:t xml:space="preserve">Patterns V and A are mirror images. When graphene-V</w:t>
      </w:r>
      <w:r>
        <w:t xml:space="preserve"> </w:t>
      </w:r>
      <w:r>
        <w:t xml:space="preserve">(conductive at the inner surface) is paired with porosity-A (insulating at the outer</w:t>
      </w:r>
      <w:r>
        <w:t xml:space="preserve"> </w:t>
      </w:r>
      <w:r>
        <w:t xml:space="preserve">surface) the two act on different, complementary parts of the wall, and the outer-surface</w:t>
      </w:r>
      <w:r>
        <w:t xml:space="preserve"> </w:t>
      </w:r>
      <w:r>
        <w:t xml:space="preserve">temperature reaches the global minimum of 0.034. Pair the same graphene-V with porosity-V,</w:t>
      </w:r>
      <w:r>
        <w:t xml:space="preserve"> </w:t>
      </w:r>
      <w:r>
        <w:t xml:space="preserve">so that both phases crowd the inner surface, and the two mechanisms compete for the same</w:t>
      </w:r>
      <w:r>
        <w:t xml:space="preserve"> </w:t>
      </w:r>
      <w:r>
        <w:t xml:space="preserve">material: the outer-surface temperature climbs back to 0.692. The worst thermal cases</w:t>
      </w:r>
      <w:r>
        <w:t xml:space="preserve"> </w:t>
      </w:r>
      <w:r>
        <w:t xml:space="preserve">belong to graphene-A — a conductive outer layer — paired with the symmetric porosities,</w:t>
      </w:r>
      <w:r>
        <w:t xml:space="preserve"> </w:t>
      </w:r>
      <w:r>
        <w:t xml:space="preserve">reaching 0.896. It is therefore not the individual pattern but the</w:t>
      </w:r>
      <w:r>
        <w:t xml:space="preserve"> </w:t>
      </w:r>
      <w:r>
        <w:rPr>
          <w:i/>
          <w:iCs/>
        </w:rPr>
        <w:t xml:space="preserve">relative orientation</w:t>
      </w:r>
      <w:r>
        <w:t xml:space="preserve"> </w:t>
      </w:r>
      <w:r>
        <w:t xml:space="preserve">of the two gradings that governs performance.</w:t>
      </w:r>
    </w:p>
    <w:p>
      <w:pPr>
        <w:pStyle w:val="BodyText"/>
      </w:pPr>
      <w:r>
        <w:rPr>
          <w:i/>
          <w:iCs/>
        </w:rPr>
        <w:t xml:space="preserve">[Figure 6: the 5 × 5 matrix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figures_ch4_color/matrix25_T_xi.png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matrix25_S_xi.png</w:t>
      </w:r>
      <w:r>
        <w:rPr>
          <w:i/>
          <w:iCs/>
        </w:rPr>
        <w:t xml:space="preserve">. Figures 7–11: the per-porosity unpackings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gplpor_por{UD,O,X,V,A}</w:t>
      </w:r>
      <w:r>
        <w:rPr>
          <w:i/>
          <w:iCs/>
        </w:rPr>
        <w:t xml:space="preserve">.]</w:t>
      </w:r>
    </w:p>
    <w:bookmarkEnd w:id="23"/>
    <w:bookmarkStart w:id="24" w:name="temperature-only-screening-is-unsafe"/>
    <w:p>
      <w:pPr>
        <w:pStyle w:val="Heading3"/>
      </w:pPr>
      <w:r>
        <w:t xml:space="preserve">5.5 Temperature-only screening is unsafe</w:t>
      </w:r>
    </w:p>
    <w:p>
      <w:pPr>
        <w:pStyle w:val="FirstParagraph"/>
      </w:pPr>
      <w:r>
        <w:t xml:space="preserve">The largest hoop stress of the entire matrix does not occur in the hottest case. Graphene-X</w:t>
      </w:r>
      <w:r>
        <w:t xml:space="preserve"> </w:t>
      </w:r>
      <w:r>
        <w:t xml:space="preserve">paired with porosity-V reaches an inner-surface hoop stress of 4.15 and a peak of 4.20 —</w:t>
      </w:r>
      <w:r>
        <w:t xml:space="preserve"> </w:t>
      </w:r>
      <w:r>
        <w:t xml:space="preserve">roughly twice the uniform reference’s peak of 2.11 — while being only moderately hot. A</w:t>
      </w:r>
      <w:r>
        <w:t xml:space="preserve"> </w:t>
      </w:r>
      <w:r>
        <w:t xml:space="preserve">screening study that ranked the twenty-five combinations on temperature alone would pass</w:t>
      </w:r>
      <w:r>
        <w:t xml:space="preserve"> </w:t>
      </w:r>
      <w:r>
        <w:t xml:space="preserve">this case. The mechanism is that a stiff X-graphene skeleton, with the reinforcement at</w:t>
      </w:r>
      <w:r>
        <w:t xml:space="preserve"> </w:t>
      </w:r>
      <w:r>
        <w:t xml:space="preserve">both surfaces, meets an inner-concentrated porosity that puts the compliant, pore-rich</w:t>
      </w:r>
      <w:r>
        <w:t xml:space="preserve"> </w:t>
      </w:r>
      <w:r>
        <w:t xml:space="preserve">material exactly where the thermal gradient is steepest; the stiff surface layers then</w:t>
      </w:r>
      <w:r>
        <w:t xml:space="preserve"> </w:t>
      </w:r>
      <w:r>
        <w:t xml:space="preserve">carry a disproportionate share of the constrained thermal expansion.</w:t>
      </w:r>
    </w:p>
    <w:bookmarkEnd w:id="24"/>
    <w:bookmarkStart w:id="25" w:name="the-design-chart"/>
    <w:p>
      <w:pPr>
        <w:pStyle w:val="Heading3"/>
      </w:pPr>
      <w:r>
        <w:t xml:space="preserve">5.6 The design chart</w:t>
      </w:r>
    </w:p>
    <w:p>
      <w:pPr>
        <w:pStyle w:val="FirstParagraph"/>
      </w:pPr>
      <w:r>
        <w:t xml:space="preserve">Collecting the corners: the best case on both counts is V-A, with outer-surface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0.034</m:t>
        </m:r>
      </m:oMath>
      <w:r>
        <w:t xml:space="preserve"> </w:t>
      </w:r>
      <w:r>
        <w:t xml:space="preserve">and a mildly compressive inner hoop stress of −0.378. The second-best on both</w:t>
      </w:r>
      <w:r>
        <w:t xml:space="preserve"> </w:t>
      </w:r>
      <w:r>
        <w:t xml:space="preserve">counts is O-A (0.064 and −0.372), which is worth carrying as the practical alternative. The</w:t>
      </w:r>
      <w:r>
        <w:t xml:space="preserve"> </w:t>
      </w:r>
      <w:r>
        <w:t xml:space="preserve">worst thermal case is A-UD (0.896) and the worst mechanical case is X-V (peak 4.20). The</w:t>
      </w:r>
      <w:r>
        <w:t xml:space="preserve"> </w:t>
      </w:r>
      <w:r>
        <w:t xml:space="preserve">uniform reference sits unremarkably in the interior, thermally ordinary but with the lowest</w:t>
      </w:r>
      <w:r>
        <w:t xml:space="preserve"> </w:t>
      </w:r>
      <w:r>
        <w:t xml:space="preserve">peak stress of the set — a safe but unambitious baseline.</w:t>
      </w:r>
    </w:p>
    <w:p>
      <w:pPr>
        <w:pStyle w:val="BodyText"/>
      </w:pPr>
      <w:r>
        <w:t xml:space="preserve">The design recommendation that follows is compact:</w:t>
      </w:r>
      <w:r>
        <w:t xml:space="preserve"> </w:t>
      </w:r>
      <w:r>
        <w:rPr>
          <w:b/>
          <w:bCs/>
        </w:rPr>
        <w:t xml:space="preserve">for internal thermal-shock protection,</w:t>
      </w:r>
      <w:r>
        <w:rPr>
          <w:b/>
          <w:bCs/>
        </w:rPr>
        <w:t xml:space="preserve"> </w:t>
      </w:r>
      <w:r>
        <w:rPr>
          <w:b/>
          <w:bCs/>
        </w:rPr>
        <w:t xml:space="preserve">concentrate the porosity at the outer surface and the graphene at the inner surface; avoid</w:t>
      </w:r>
      <w:r>
        <w:rPr>
          <w:b/>
          <w:bCs/>
        </w:rPr>
        <w:t xml:space="preserve"> </w:t>
      </w:r>
      <w:r>
        <w:rPr>
          <w:b/>
          <w:bCs/>
        </w:rPr>
        <w:t xml:space="preserve">any pairing of a stiff, surface-reinforced graphene pattern with an inner-concentrated</w:t>
      </w:r>
      <w:r>
        <w:rPr>
          <w:b/>
          <w:bCs/>
        </w:rPr>
        <w:t xml:space="preserve"> </w:t>
      </w:r>
      <w:r>
        <w:rPr>
          <w:b/>
          <w:bCs/>
        </w:rPr>
        <w:t xml:space="preserve">porosity.</w:t>
      </w:r>
      <w:r>
        <w:t xml:space="preserve"> </w:t>
      </w:r>
      <w:r>
        <w:t xml:space="preserve">The price of the recommended V-A design is a somewhat larger radial</w:t>
      </w:r>
      <w:r>
        <w:t xml:space="preserve"> </w:t>
      </w:r>
      <w:r>
        <w:t xml:space="preserve">displacement, which the chart makes explicit.</w:t>
      </w:r>
    </w:p>
    <w:p>
      <w:pPr>
        <w:pStyle w:val="BodyText"/>
      </w:pPr>
      <w:r>
        <w:rPr>
          <w:i/>
          <w:iCs/>
        </w:rPr>
        <w:t xml:space="preserve">[Figure 12: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figures_ch4_color/bestworst.png</w:t>
      </w:r>
      <w:r>
        <w:rPr>
          <w:i/>
          <w:iCs/>
        </w:rPr>
        <w:t xml:space="preserve">.]</w:t>
      </w:r>
    </w:p>
    <w:bookmarkEnd w:id="25"/>
    <w:bookmarkStart w:id="26" w:name="secondary-levers"/>
    <w:p>
      <w:pPr>
        <w:pStyle w:val="Heading3"/>
      </w:pPr>
      <w:r>
        <w:t xml:space="preserve">5.7 Secondary levers</w:t>
      </w:r>
    </w:p>
    <w:p>
      <w:pPr>
        <w:pStyle w:val="FirstParagraph"/>
      </w:pPr>
      <w:r>
        <w:t xml:space="preserve">Brief treatment, each a short paragraph with one figure: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Graphene weight fraction.</w:t>
      </w:r>
      <w:r>
        <w:t xml:space="preserve"> </w:t>
      </w:r>
      <w:r>
        <w:t xml:space="preserve">In the low-fraction regime a small graphene addition</w:t>
      </w:r>
      <w:r>
        <w:t xml:space="preserve"> </w:t>
      </w:r>
      <w:r>
        <w:t xml:space="preserve">switches the wall from a poor to a good thermal conductor; beyond that, further addition</w:t>
      </w:r>
      <w:r>
        <w:t xml:space="preserve"> </w:t>
      </w:r>
      <w:r>
        <w:t xml:space="preserve">mainly raises the thermal stresses, the inner hoop stress reversing sign by 8 %.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Platelet aspect ratios.</w:t>
      </w:r>
      <w:r>
        <w:t xml:space="preserve"> </w:t>
      </w:r>
      <w:r>
        <w:t xml:space="preserve">At this low weight fraction, only a second-order lever.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Internal pressure.</w:t>
      </w:r>
      <w:r>
        <w:t xml:space="preserve"> </w:t>
      </w:r>
      <w:r>
        <w:t xml:space="preserve">Enters linearly and produces no discontinuity up to 100 MPa; at</w:t>
      </w:r>
      <w:r>
        <w:t xml:space="preserve"> </w:t>
      </w:r>
      <w:r>
        <w:t xml:space="preserve">the 50 MPa reference it is a first-order contributor to stress and displacement while the</w:t>
      </w:r>
      <w:r>
        <w:t xml:space="preserve"> </w:t>
      </w:r>
      <w:r>
        <w:t xml:space="preserve">temperature field remains thermally governed.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 supports.</w:t>
      </w:r>
      <w:r>
        <w:t xml:space="preserve"> </w:t>
      </w:r>
      <w:r>
        <w:t xml:space="preserve">Clamped ends reduce the mid-length hoop stress substantially; support</w:t>
      </w:r>
      <w:r>
        <w:t xml:space="preserve"> </w:t>
      </w:r>
      <w:r>
        <w:t xml:space="preserve">effects are end-localized and the mid-length response approaches the long-cylinder limit</w:t>
      </w:r>
      <w:r>
        <w:t xml:space="preserve"> </w:t>
      </w:r>
      <w:r>
        <w:t xml:space="preserve">as the cylinder lengthens.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nclusions"/>
    <w:p>
      <w:pPr>
        <w:pStyle w:val="Heading2"/>
      </w:pPr>
      <w:r>
        <w:t xml:space="preserve">6. Conclusions</w:t>
      </w:r>
    </w:p>
    <w:p>
      <w:pPr>
        <w:pStyle w:val="Compact"/>
        <w:numPr>
          <w:ilvl w:val="0"/>
          <w:numId w:val="1003"/>
        </w:numPr>
      </w:pPr>
      <w:r>
        <w:t xml:space="preserve">A fully coupled Lord–Shulman thermoelastic model of a multilayer porous GPL-reinforced</w:t>
      </w:r>
      <w:r>
        <w:t xml:space="preserve"> </w:t>
      </w:r>
      <w:r>
        <w:t xml:space="preserve">thick-walled cylinder has been developed, solved by layerwise differential quadrature</w:t>
      </w:r>
      <w:r>
        <w:t xml:space="preserve"> </w:t>
      </w:r>
      <w:r>
        <w:t xml:space="preserve">with Newmark integration, and verified in five independent tests including against an</w:t>
      </w:r>
      <w:r>
        <w:t xml:space="preserve"> </w:t>
      </w:r>
      <w:r>
        <w:t xml:space="preserve">exact Fourier–Bessel second-sound solution (0.32 % pointwise).</w:t>
      </w:r>
    </w:p>
    <w:p>
      <w:pPr>
        <w:pStyle w:val="Compact"/>
        <w:numPr>
          <w:ilvl w:val="0"/>
          <w:numId w:val="1003"/>
        </w:numPr>
      </w:pPr>
      <w:r>
        <w:t xml:space="preserve">The graphene and porosity gradings cannot be chosen independently. Their interaction is</w:t>
      </w:r>
      <w:r>
        <w:t xml:space="preserve"> </w:t>
      </w:r>
      <w:r>
        <w:t xml:space="preserve">governed by whether the two gradings are aligned or mirrored.</w:t>
      </w:r>
    </w:p>
    <w:p>
      <w:pPr>
        <w:pStyle w:val="Compact"/>
        <w:numPr>
          <w:ilvl w:val="0"/>
          <w:numId w:val="1003"/>
        </w:numPr>
      </w:pPr>
      <w:r>
        <w:t xml:space="preserve">Porosity pattern A is a universal thermal barrier: it produces the lowest outer-surface</w:t>
      </w:r>
      <w:r>
        <w:t xml:space="preserve"> </w:t>
      </w:r>
      <w:r>
        <w:t xml:space="preserve">temperature on every graphene background, and it turns the inner-surface hoop stress</w:t>
      </w:r>
      <w:r>
        <w:t xml:space="preserve"> </w:t>
      </w:r>
      <w:r>
        <w:t xml:space="preserve">compressive in all five pairings.</w:t>
      </w:r>
    </w:p>
    <w:p>
      <w:pPr>
        <w:pStyle w:val="Compact"/>
        <w:numPr>
          <w:ilvl w:val="0"/>
          <w:numId w:val="1003"/>
        </w:numPr>
      </w:pPr>
      <w:r>
        <w:t xml:space="preserve">The best pairing, graphene-V with porosity-A, reduces the outer-surface temperature</w:t>
      </w:r>
      <w:r>
        <w:t xml:space="preserve"> </w:t>
      </w:r>
      <w:r>
        <w:t xml:space="preserve">twenty-six-fold relative to the uniform reference at a mildly compressive inner hoop</w:t>
      </w:r>
      <w:r>
        <w:t xml:space="preserve"> </w:t>
      </w:r>
      <w:r>
        <w:t xml:space="preserve">stress.</w:t>
      </w:r>
    </w:p>
    <w:p>
      <w:pPr>
        <w:pStyle w:val="Compact"/>
        <w:numPr>
          <w:ilvl w:val="0"/>
          <w:numId w:val="1003"/>
        </w:numPr>
      </w:pPr>
      <w:r>
        <w:t xml:space="preserve">Screening on temperature alone is unsafe: graphene-X with porosity-V is thermally</w:t>
      </w:r>
      <w:r>
        <w:t xml:space="preserve"> </w:t>
      </w:r>
      <w:r>
        <w:t xml:space="preserve">unremarkable yet carries the largest hoop stress of the matrix.</w:t>
      </w:r>
    </w:p>
    <w:p>
      <w:pPr>
        <w:pStyle w:val="Compact"/>
        <w:numPr>
          <w:ilvl w:val="0"/>
          <w:numId w:val="1003"/>
        </w:numPr>
      </w:pPr>
      <w:r>
        <w:t xml:space="preserve">The recommended configuration for internal thermal-shock protection is an</w:t>
      </w:r>
      <w:r>
        <w:t xml:space="preserve"> </w:t>
      </w:r>
      <w:r>
        <w:t xml:space="preserve">outer-concentrated porosity paired with an inner-rich graphene grading.</w:t>
      </w:r>
    </w:p>
    <w:p>
      <w:pPr>
        <w:pStyle w:val="FirstParagraph"/>
      </w:pPr>
      <w:r>
        <w:rPr>
          <w:b/>
          <w:bCs/>
        </w:rPr>
        <w:t xml:space="preserve">Future work.</w:t>
      </w:r>
      <w:r>
        <w:t xml:space="preserve"> </w:t>
      </w:r>
      <w:r>
        <w:t xml:space="preserve">Temperature-dependent properties; within-layer continuous grading rather</w:t>
      </w:r>
      <w:r>
        <w:t xml:space="preserve"> </w:t>
      </w:r>
      <w:r>
        <w:t xml:space="preserve">than layerwise-constant; radiation at the outer boundary; and extension of the interaction</w:t>
      </w:r>
      <w:r>
        <w:t xml:space="preserve"> </w:t>
      </w:r>
      <w:r>
        <w:t xml:space="preserve">map to other generalized theories.</w:t>
      </w:r>
    </w:p>
    <w:p>
      <w:r>
        <w:pict>
          <v:rect style="width:0;height:1.5pt" o:hralign="center" o:hrstd="t" o:hr="t"/>
        </w:pict>
      </w:r>
    </w:p>
    <w:bookmarkEnd w:id="28"/>
    <w:bookmarkStart w:id="2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i/>
          <w:iCs/>
        </w:rPr>
        <w:t xml:space="preserve">[The thesis bibliography already contains all of these; renumber to the journal’s style on</w:t>
      </w:r>
      <w:r>
        <w:rPr>
          <w:i/>
          <w:iCs/>
        </w:rPr>
        <w:t xml:space="preserve"> </w:t>
      </w:r>
      <w:r>
        <w:rPr>
          <w:i/>
          <w:iCs/>
        </w:rPr>
        <w:t xml:space="preserve">submission. Minimum set for this paper:]</w:t>
      </w:r>
    </w:p>
    <w:p>
      <w:pPr>
        <w:pStyle w:val="Compact"/>
        <w:numPr>
          <w:ilvl w:val="0"/>
          <w:numId w:val="1004"/>
        </w:numPr>
      </w:pPr>
      <w:r>
        <w:t xml:space="preserve">Lord HW, Shulman Y. A generalized dynamical theory of thermoelasticity.</w:t>
      </w:r>
      <w:r>
        <w:t xml:space="preserve"> </w:t>
      </w:r>
      <w:r>
        <w:rPr>
          <w:i/>
          <w:iCs/>
        </w:rPr>
        <w:t xml:space="preserve">J Mech Phys Solids</w:t>
      </w:r>
      <w:r>
        <w:t xml:space="preserve"> </w:t>
      </w:r>
      <w:r>
        <w:t xml:space="preserve">1967;15(5):299–309.</w:t>
      </w:r>
    </w:p>
    <w:p>
      <w:pPr>
        <w:pStyle w:val="Compact"/>
        <w:numPr>
          <w:ilvl w:val="0"/>
          <w:numId w:val="1004"/>
        </w:numPr>
      </w:pPr>
      <w:r>
        <w:t xml:space="preserve">Bagri A, Eslami MR. A unified generalized thermoelasticity; solution for cylinders and spheres.</w:t>
      </w:r>
      <w:r>
        <w:t xml:space="preserve"> </w:t>
      </w:r>
      <w:r>
        <w:rPr>
          <w:i/>
          <w:iCs/>
        </w:rPr>
        <w:t xml:space="preserve">Int J Mech Sci</w:t>
      </w:r>
      <w:r>
        <w:t xml:space="preserve"> </w:t>
      </w:r>
      <w:r>
        <w:t xml:space="preserve">2007;49(12):1325–35.</w:t>
      </w:r>
    </w:p>
    <w:p>
      <w:pPr>
        <w:pStyle w:val="Compact"/>
        <w:numPr>
          <w:ilvl w:val="0"/>
          <w:numId w:val="1004"/>
        </w:numPr>
      </w:pPr>
      <w:r>
        <w:t xml:space="preserve">Malekzadeh P, et al. Transient response of rotating laminated functionally graded cylindrical shells in thermal environment.</w:t>
      </w:r>
      <w:r>
        <w:t xml:space="preserve"> </w:t>
      </w:r>
      <w:r>
        <w:rPr>
          <w:i/>
          <w:iCs/>
        </w:rPr>
        <w:t xml:space="preserve">Int J Press Vessels Pip</w:t>
      </w:r>
      <w:r>
        <w:t xml:space="preserve"> </w:t>
      </w:r>
      <w:r>
        <w:t xml:space="preserve">2012;98:43–56. doi:10.1016/j.ijpvp.2012.07.003</w:t>
      </w:r>
    </w:p>
    <w:p>
      <w:pPr>
        <w:pStyle w:val="Compact"/>
        <w:numPr>
          <w:ilvl w:val="0"/>
          <w:numId w:val="1004"/>
        </w:numPr>
      </w:pPr>
      <w:r>
        <w:t xml:space="preserve">Heydarpour Y, et al. Thermoelastic analysis of FG-GPLRC spherical shells under thermo-mechanical loadings based on Lord–Shulman theory.</w:t>
      </w:r>
      <w:r>
        <w:t xml:space="preserve"> </w:t>
      </w:r>
      <w:r>
        <w:rPr>
          <w:i/>
          <w:iCs/>
        </w:rPr>
        <w:t xml:space="preserve">Compos Part B</w:t>
      </w:r>
      <w:r>
        <w:t xml:space="preserve"> </w:t>
      </w:r>
      <w:r>
        <w:t xml:space="preserve">2019;164:400–24. doi:10.1016/j.compositesb.2018.12.073</w:t>
      </w:r>
    </w:p>
    <w:p>
      <w:pPr>
        <w:pStyle w:val="Compact"/>
        <w:numPr>
          <w:ilvl w:val="0"/>
          <w:numId w:val="1004"/>
        </w:numPr>
      </w:pPr>
      <w:r>
        <w:t xml:space="preserve">Heydarpour Y, et al. Thermoelastic analysis of multilayered FG spherical shells based on Lord–Shulman theory.</w:t>
      </w:r>
      <w:r>
        <w:t xml:space="preserve"> </w:t>
      </w:r>
      <w:r>
        <w:rPr>
          <w:i/>
          <w:iCs/>
        </w:rPr>
        <w:t xml:space="preserve">Iran J Sci Technol Trans Mech Eng</w:t>
      </w:r>
      <w:r>
        <w:t xml:space="preserve"> </w:t>
      </w:r>
      <w:r>
        <w:t xml:space="preserve">2019. doi:10.1007/s40997-018-0199-0</w:t>
      </w:r>
    </w:p>
    <w:p>
      <w:pPr>
        <w:pStyle w:val="Compact"/>
        <w:numPr>
          <w:ilvl w:val="0"/>
          <w:numId w:val="1004"/>
        </w:numPr>
      </w:pPr>
      <w:r>
        <w:t xml:space="preserve">Zhao J, et al. Thermoelastic wave propagation damping in a hollow FG-GPLRC cylinder with spinning motion.</w:t>
      </w:r>
      <w:r>
        <w:t xml:space="preserve"> </w:t>
      </w:r>
      <w:r>
        <w:rPr>
          <w:i/>
          <w:iCs/>
        </w:rPr>
        <w:t xml:space="preserve">Thin-Walled Struct</w:t>
      </w:r>
      <w:r>
        <w:t xml:space="preserve"> </w:t>
      </w:r>
      <w:r>
        <w:t xml:space="preserve">2022;177:109367.</w:t>
      </w:r>
    </w:p>
    <w:p>
      <w:pPr>
        <w:pStyle w:val="Compact"/>
        <w:numPr>
          <w:ilvl w:val="0"/>
          <w:numId w:val="1004"/>
        </w:numPr>
      </w:pPr>
      <w:r>
        <w:t xml:space="preserve">Kitipornchai S, Chen D, Yang J. Free vibration and elastic buckling of functionally graded porous beams reinforced by graphene platelets.</w:t>
      </w:r>
      <w:r>
        <w:t xml:space="preserve"> </w:t>
      </w:r>
      <w:r>
        <w:rPr>
          <w:i/>
          <w:iCs/>
        </w:rPr>
        <w:t xml:space="preserve">Mater Des</w:t>
      </w:r>
      <w:r>
        <w:t xml:space="preserve"> </w:t>
      </w:r>
      <w:r>
        <w:t xml:space="preserve">2017;116:656–65.</w:t>
      </w:r>
    </w:p>
    <w:p>
      <w:pPr>
        <w:pStyle w:val="Compact"/>
        <w:numPr>
          <w:ilvl w:val="0"/>
          <w:numId w:val="1004"/>
        </w:numPr>
      </w:pPr>
      <w:r>
        <w:t xml:space="preserve">Affdl JCH, Kardos JL. The Halpin–Tsai equations: a review.</w:t>
      </w:r>
      <w:r>
        <w:t xml:space="preserve"> </w:t>
      </w:r>
      <w:r>
        <w:rPr>
          <w:i/>
          <w:iCs/>
        </w:rPr>
        <w:t xml:space="preserve">Polym Eng Sci</w:t>
      </w:r>
      <w:r>
        <w:t xml:space="preserve"> </w:t>
      </w:r>
      <w:r>
        <w:t xml:space="preserve">1976;16(5):344–52.</w:t>
      </w:r>
    </w:p>
    <w:p>
      <w:pPr>
        <w:pStyle w:val="Compact"/>
        <w:numPr>
          <w:ilvl w:val="0"/>
          <w:numId w:val="1004"/>
        </w:numPr>
      </w:pPr>
      <w:r>
        <w:t xml:space="preserve">Shu C.</w:t>
      </w:r>
      <w:r>
        <w:t xml:space="preserve"> </w:t>
      </w:r>
      <w:r>
        <w:rPr>
          <w:i/>
          <w:iCs/>
        </w:rPr>
        <w:t xml:space="preserve">Differential Quadrature and Its Application in Engineering</w:t>
      </w:r>
      <w:r>
        <w:t xml:space="preserve">. Springer; 2000.</w:t>
      </w:r>
    </w:p>
    <w:p>
      <w:pPr>
        <w:pStyle w:val="Compact"/>
        <w:numPr>
          <w:ilvl w:val="0"/>
          <w:numId w:val="1004"/>
        </w:numPr>
      </w:pPr>
      <w:r>
        <w:t xml:space="preserve">Bellman R, Casti J. Differential quadrature and long-term integration.</w:t>
      </w:r>
      <w:r>
        <w:t xml:space="preserve"> </w:t>
      </w:r>
      <w:r>
        <w:rPr>
          <w:i/>
          <w:iCs/>
        </w:rPr>
        <w:t xml:space="preserve">J Math Anal Appl</w:t>
      </w:r>
      <w:r>
        <w:t xml:space="preserve"> </w:t>
      </w:r>
      <w:r>
        <w:t xml:space="preserve">1971;34(2):235–8.</w:t>
      </w:r>
    </w:p>
    <w:p>
      <w:pPr>
        <w:pStyle w:val="Compact"/>
        <w:numPr>
          <w:ilvl w:val="0"/>
          <w:numId w:val="1004"/>
        </w:numPr>
      </w:pPr>
      <w:r>
        <w:t xml:space="preserve">Newmark NM. A method of computation for structural dynamics.</w:t>
      </w:r>
      <w:r>
        <w:t xml:space="preserve"> </w:t>
      </w:r>
      <w:r>
        <w:rPr>
          <w:i/>
          <w:iCs/>
        </w:rPr>
        <w:t xml:space="preserve">J Eng Mech Div ASCE</w:t>
      </w:r>
      <w:r>
        <w:t xml:space="preserve"> </w:t>
      </w:r>
      <w:r>
        <w:t xml:space="preserve">1959;85(3):67–94.</w:t>
      </w:r>
    </w:p>
    <w:p>
      <w:pPr>
        <w:pStyle w:val="Compact"/>
        <w:numPr>
          <w:ilvl w:val="0"/>
          <w:numId w:val="1004"/>
        </w:numPr>
      </w:pPr>
      <w:r>
        <w:t xml:space="preserve">Cattaneo C. Sur une forme de l’équation de la chaleur éliminant le paradoxe d’une propagation instantanée.</w:t>
      </w:r>
      <w:r>
        <w:t xml:space="preserve"> </w:t>
      </w:r>
      <w:r>
        <w:rPr>
          <w:i/>
          <w:iCs/>
        </w:rPr>
        <w:t xml:space="preserve">C R Acad Sci</w:t>
      </w:r>
      <w:r>
        <w:t xml:space="preserve"> </w:t>
      </w:r>
      <w:r>
        <w:t xml:space="preserve">1958;247:431–3.</w:t>
      </w:r>
    </w:p>
    <w:p>
      <w:pPr>
        <w:pStyle w:val="Compact"/>
        <w:numPr>
          <w:ilvl w:val="0"/>
          <w:numId w:val="1004"/>
        </w:numPr>
      </w:pPr>
      <w:r>
        <w:t xml:space="preserve">Hetnarski RB, Eslami MR.</w:t>
      </w:r>
      <w:r>
        <w:t xml:space="preserve"> </w:t>
      </w:r>
      <w:r>
        <w:rPr>
          <w:i/>
          <w:iCs/>
        </w:rPr>
        <w:t xml:space="preserve">Thermal Stresses — Advanced Theory and Applications</w:t>
      </w:r>
      <w:r>
        <w:t xml:space="preserve">. Springer.</w:t>
      </w:r>
    </w:p>
    <w:p>
      <w:pPr>
        <w:pStyle w:val="Compact"/>
        <w:numPr>
          <w:ilvl w:val="0"/>
          <w:numId w:val="1004"/>
        </w:numPr>
      </w:pPr>
      <w:r>
        <w:t xml:space="preserve">Ignaczak J, Ostoja-Starzewski M.</w:t>
      </w:r>
      <w:r>
        <w:t xml:space="preserve"> </w:t>
      </w:r>
      <w:r>
        <w:rPr>
          <w:i/>
          <w:iCs/>
        </w:rPr>
        <w:t xml:space="preserve">Thermoelasticity with Finite Wave Speeds</w:t>
      </w:r>
      <w:r>
        <w:t xml:space="preserve">. Oxford University Press; 2010.</w:t>
      </w:r>
    </w:p>
    <w:p>
      <w:pPr>
        <w:pStyle w:val="Compact"/>
        <w:numPr>
          <w:ilvl w:val="0"/>
          <w:numId w:val="1004"/>
        </w:numPr>
      </w:pPr>
      <w:r>
        <w:t xml:space="preserve">Gibson LJ, Ashby MF.</w:t>
      </w:r>
      <w:r>
        <w:t xml:space="preserve"> </w:t>
      </w:r>
      <w:r>
        <w:rPr>
          <w:i/>
          <w:iCs/>
        </w:rPr>
        <w:t xml:space="preserve">Cellular Solids: Structure and Properties</w:t>
      </w:r>
      <w:r>
        <w:t xml:space="preserve">. Cambridge University Press.</w:t>
      </w:r>
    </w:p>
    <w:p>
      <w:r>
        <w:pict>
          <v:rect style="width:0;height:1.5pt" o:hralign="center" o:hrstd="t" o:hr="t"/>
        </w:pict>
      </w:r>
    </w:p>
    <w:bookmarkEnd w:id="29"/>
    <w:bookmarkStart w:id="30" w:name="submission-checklist"/>
    <w:p>
      <w:pPr>
        <w:pStyle w:val="Heading2"/>
      </w:pPr>
      <w:r>
        <w:t xml:space="preserve">Submission checklist</w:t>
      </w:r>
    </w:p>
    <w:p>
      <w:pPr>
        <w:pStyle w:val="Compact"/>
        <w:numPr>
          <w:ilvl w:val="0"/>
          <w:numId w:val="1005"/>
        </w:numPr>
      </w:pPr>
      <w:r>
        <w:t xml:space="preserve">Author order and affiliations confirmed with supervisors</w:t>
      </w:r>
    </w:p>
    <w:p>
      <w:pPr>
        <w:pStyle w:val="Compact"/>
        <w:numPr>
          <w:ilvl w:val="0"/>
          <w:numId w:val="1006"/>
        </w:numPr>
      </w:pPr>
      <w:r>
        <w:t xml:space="preserve">Thesis-derivation footnote added</w:t>
      </w:r>
    </w:p>
    <w:p>
      <w:pPr>
        <w:pStyle w:val="Compact"/>
        <w:numPr>
          <w:ilvl w:val="0"/>
          <w:numId w:val="1007"/>
        </w:numPr>
      </w:pPr>
      <w:r>
        <w:t xml:space="preserve">Every figure redrawn at journal resolution; colour and B&amp;W variants both exist already</w:t>
      </w:r>
    </w:p>
    <w:p>
      <w:pPr>
        <w:pStyle w:val="Compact"/>
        <w:numPr>
          <w:ilvl w:val="0"/>
          <w:numId w:val="1008"/>
        </w:numPr>
      </w:pPr>
      <w:r>
        <w:t xml:space="preserve">Table 1 (pattern definitions) and Table 2 (dimensionless quantities) written out</w:t>
      </w:r>
    </w:p>
    <w:p>
      <w:pPr>
        <w:pStyle w:val="Compact"/>
        <w:numPr>
          <w:ilvl w:val="0"/>
          <w:numId w:val="1009"/>
        </w:numPr>
      </w:pPr>
      <w:r>
        <w:t xml:space="preserve">Introduction expanded to full length with the thesis bibliography</w:t>
      </w:r>
    </w:p>
    <w:p>
      <w:pPr>
        <w:pStyle w:val="Compact"/>
        <w:numPr>
          <w:ilvl w:val="0"/>
          <w:numId w:val="1010"/>
        </w:numPr>
      </w:pPr>
      <w:r>
        <w:t xml:space="preserve">§2.2 and §2.3 equations transcribed from thesis Chapter 3</w:t>
      </w:r>
    </w:p>
    <w:p>
      <w:pPr>
        <w:pStyle w:val="Compact"/>
        <w:numPr>
          <w:ilvl w:val="0"/>
          <w:numId w:val="1011"/>
        </w:numPr>
      </w:pPr>
      <w:r>
        <w:t xml:space="preserve">Decide: present the relaxation time as physical or explicitly parametric (see portfolio note)</w:t>
      </w:r>
    </w:p>
    <w:p>
      <w:pPr>
        <w:pStyle w:val="Compact"/>
        <w:numPr>
          <w:ilvl w:val="0"/>
          <w:numId w:val="1012"/>
        </w:numPr>
      </w:pPr>
      <w:r>
        <w:t xml:space="preserve">Cover letter naming the interaction map as the contribution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2026-09-26T19:21:09Z</dcterms:created>
  <dcterms:modified xsi:type="dcterms:W3CDTF">2026-09-26T19:21:09Z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ltr</vt:lpwstr>
  </property>
</Properties>
</file>