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1f5474551158e7793f924f33fc2a9e56c65a5e"/>
    <w:p>
      <w:pPr>
        <w:pStyle w:val="Heading1"/>
      </w:pPr>
      <w:r>
        <w:t xml:space="preserve">Do the generalized thermoelasticity theories differ for porous GPL-reinforced cylinders? A four-theory comparison under ramp and impulsive thermal loading</w:t>
      </w:r>
    </w:p>
    <w:p>
      <w:pPr>
        <w:pStyle w:val="FirstParagraph"/>
      </w:pPr>
      <w:r>
        <w:rPr>
          <w:b/>
          <w:bCs/>
        </w:rPr>
        <w:t xml:space="preserve">Authors.</w:t>
      </w:r>
      <w:r>
        <w:t xml:space="preserve"> </w:t>
      </w:r>
      <w:r>
        <w:rPr>
          <w:i/>
          <w:iCs/>
        </w:rPr>
        <w:t xml:space="preserve">[Author 1]</w:t>
      </w:r>
      <w:r>
        <w:t xml:space="preserve">ᵃ,</w:t>
      </w:r>
      <w:r>
        <w:t xml:space="preserve"> </w:t>
      </w:r>
      <w:r>
        <w:rPr>
          <w:i/>
          <w:iCs/>
        </w:rPr>
        <w:t xml:space="preserve">[Supervisor 1]</w:t>
      </w:r>
      <w:r>
        <w:t xml:space="preserve">ᵃ,</w:t>
      </w:r>
      <w:r>
        <w:t xml:space="preserve"> </w:t>
      </w:r>
      <w:r>
        <w:rPr>
          <w:i/>
          <w:iCs/>
        </w:rPr>
        <w:t xml:space="preserve">[Supervisor 2]</w:t>
      </w:r>
      <w:r>
        <w:t xml:space="preserve">ᵃ</w:t>
      </w:r>
      <w:r>
        <w:t xml:space="preserve"> </w:t>
      </w:r>
      <w:r>
        <w:t xml:space="preserve">ᵃ Department of Mechanical Engineering, Persian Gulf University, Bushehr, Iran</w:t>
      </w:r>
    </w:p>
    <w:p>
      <w:pPr>
        <w:pStyle w:val="BlockText"/>
      </w:pPr>
      <w:r>
        <w:rPr>
          <w:i/>
          <w:iCs/>
        </w:rPr>
        <w:t xml:space="preserve">Author order to be settled with the supervisors. Add the thesis-derivation footnote.</w:t>
      </w:r>
      <w:r>
        <w:t xml:space="preserve"> </w:t>
      </w:r>
      <w:r>
        <w:rPr>
          <w:i/>
          <w:iCs/>
        </w:rPr>
        <w:t xml:space="preserve">Cite Paper 1 (formulation and validation) as submitted / in press.</w:t>
      </w:r>
    </w:p>
    <w:p>
      <w:pPr>
        <w:pStyle w:val="FirstParagraph"/>
      </w:pPr>
      <w:r>
        <w:rPr>
          <w:b/>
          <w:bCs/>
        </w:rPr>
        <w:t xml:space="preserve">Target journal.</w:t>
      </w:r>
      <w:r>
        <w:t xml:space="preserve"> </w:t>
      </w:r>
      <w:r>
        <w:rPr>
          <w:i/>
          <w:iCs/>
        </w:rPr>
        <w:t xml:space="preserve">Journal of Thermal Stresses</w:t>
      </w:r>
      <w:r>
        <w:t xml:space="preserve"> </w:t>
      </w:r>
      <w:r>
        <w:t xml:space="preserve">(alternates:</w:t>
      </w:r>
      <w:r>
        <w:t xml:space="preserve"> </w:t>
      </w:r>
      <w:r>
        <w:rPr>
          <w:i/>
          <w:iCs/>
        </w:rPr>
        <w:t xml:space="preserve">Acta Mechanica</w:t>
      </w:r>
      <w:r>
        <w:t xml:space="preserve">,</w:t>
      </w:r>
      <w:r>
        <w:t xml:space="preserve"> </w:t>
      </w:r>
      <w:r>
        <w:rPr>
          <w:i/>
          <w:iCs/>
        </w:rPr>
        <w:t xml:space="preserve">Continuum Mechanics and Thermodynamics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Four thermoelasticity theories — classical coupled Fourier, Lord–Shulman, dual-phase-lag</w:t>
      </w:r>
      <w:r>
        <w:t xml:space="preserve"> </w:t>
      </w:r>
      <w:r>
        <w:t xml:space="preserve">and Green–Naghdi type III — are in routine simultaneous use, and a designer choosing among</w:t>
      </w:r>
      <w:r>
        <w:t xml:space="preserve"> </w:t>
      </w:r>
      <w:r>
        <w:t xml:space="preserve">them has little quantitative guidance on when the choice actually changes the answer. This</w:t>
      </w:r>
      <w:r>
        <w:t xml:space="preserve"> </w:t>
      </w:r>
      <w:r>
        <w:t xml:space="preserve">paper supplies that guidance for a structural class in which it has not been examined: a</w:t>
      </w:r>
      <w:r>
        <w:t xml:space="preserve"> </w:t>
      </w:r>
      <w:r>
        <w:t xml:space="preserve">multilayer porous graphene-platelet-reinforced thick-walled cylinder, whose effective</w:t>
      </w:r>
      <w:r>
        <w:t xml:space="preserve"> </w:t>
      </w:r>
      <w:r>
        <w:t xml:space="preserve">properties vary by an order of magnitude through the wall. The four theories are solved on</w:t>
      </w:r>
      <w:r>
        <w:t xml:space="preserve"> </w:t>
      </w:r>
      <w:r>
        <w:t xml:space="preserve">an identical layerwise differential quadrature discretization with matched parameters,</w:t>
      </w:r>
      <w:r>
        <w:t xml:space="preserve"> </w:t>
      </w:r>
      <w:r>
        <w:t xml:space="preserve">under two loadings chosen to bracket practice — a smooth internal temperature ramp and a</w:t>
      </w:r>
      <w:r>
        <w:t xml:space="preserve"> </w:t>
      </w:r>
      <w:r>
        <w:t xml:space="preserve">short Gaussian pulse. Under the ramp at a mild relaxation time the three dissipative</w:t>
      </w:r>
      <w:r>
        <w:t xml:space="preserve"> </w:t>
      </w:r>
      <w:r>
        <w:t xml:space="preserve">theories are nearly indistinguishable, peaking at 0.950 (Fourier), 0.956 (dual-phase-lag)</w:t>
      </w:r>
      <w:r>
        <w:t xml:space="preserve"> </w:t>
      </w:r>
      <w:r>
        <w:t xml:space="preserve">and 0.962 (Lord–Shulman); the dual-phase-lag result interpolates between the other two</w:t>
      </w:r>
      <w:r>
        <w:t xml:space="preserve"> </w:t>
      </w:r>
      <w:r>
        <w:t xml:space="preserve">exactly as its structure predicts, and reduces identically to Fourier when the two lags are</w:t>
      </w:r>
      <w:r>
        <w:t xml:space="preserve"> </w:t>
      </w:r>
      <w:r>
        <w:t xml:space="preserve">equal. Green–Naghdi type III behaves qualitatively differently: it overshoots early and</w:t>
      </w:r>
      <w:r>
        <w:t xml:space="preserve"> </w:t>
      </w:r>
      <w:r>
        <w:t xml:space="preserve">strongly to 1.581 and is still at 0.870 at the end of the observation window, because its</w:t>
      </w:r>
      <w:r>
        <w:t xml:space="preserve"> </w:t>
      </w:r>
      <w:r>
        <w:t xml:space="preserve">energy equation carries no mechanism to dissipate the thermal wave. Replacing the ramp with</w:t>
      </w:r>
      <w:r>
        <w:t xml:space="preserve"> </w:t>
      </w:r>
      <w:r>
        <w:t xml:space="preserve">an impulsive pulse separates Fourier from Lord–Shulman decisively: the classical pulse</w:t>
      </w:r>
      <w:r>
        <w:t xml:space="preserve"> </w:t>
      </w:r>
      <w:r>
        <w:t xml:space="preserve">arrives early, smeared and weak (0.195), and has effectively vanished by the end of the</w:t>
      </w:r>
      <w:r>
        <w:t xml:space="preserve"> </w:t>
      </w:r>
      <w:r>
        <w:t xml:space="preserve">window, whereas the Lord–Shulman pulse arrives later, two and a half times stronger</w:t>
      </w:r>
      <w:r>
        <w:t xml:space="preserve"> </w:t>
      </w:r>
      <w:r>
        <w:t xml:space="preserve">(0.478), and persists as a coherent wave packet. A relaxation-time sweep shows the</w:t>
      </w:r>
      <w:r>
        <w:t xml:space="preserve"> </w:t>
      </w:r>
      <w:r>
        <w:t xml:space="preserve">mid-wall overshoot growing monotonically from 0.953 to 1.271, and the measured wave arrival</w:t>
      </w:r>
      <w:r>
        <w:t xml:space="preserve"> </w:t>
      </w:r>
      <w:r>
        <w:t xml:space="preserve">matching the hyperbolic prediction. The practical conclusion is loading-dependent: for slow</w:t>
      </w:r>
      <w:r>
        <w:t xml:space="preserve"> </w:t>
      </w:r>
      <w:r>
        <w:t xml:space="preserve">thermal loading the classical theory is defensible for this material class, while for</w:t>
      </w:r>
      <w:r>
        <w:t xml:space="preserve"> </w:t>
      </w:r>
      <w:r>
        <w:t xml:space="preserve">impulsive loading it substantially under-predicts the severity of the event.</w:t>
      </w:r>
    </w:p>
    <w:p>
      <w:pPr>
        <w:pStyle w:val="BodyText"/>
      </w:pPr>
      <w:r>
        <w:rPr>
          <w:b/>
          <w:bCs/>
        </w:rPr>
        <w:t xml:space="preserve">Keywords.</w:t>
      </w:r>
      <w:r>
        <w:t xml:space="preserve"> </w:t>
      </w:r>
      <w:r>
        <w:t xml:space="preserve">Generalized thermoelasticity; Lord–Shulman; dual-phase-lag; Green–Naghdi;</w:t>
      </w:r>
      <w:r>
        <w:t xml:space="preserve"> </w:t>
      </w:r>
      <w:r>
        <w:t xml:space="preserve">second sound; graphene platelets; functionally graded porosity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rPr>
          <w:i/>
          <w:iCs/>
        </w:rPr>
        <w:t xml:space="preserve">[Target ≈ 1000 words.]</w:t>
      </w:r>
    </w:p>
    <w:p>
      <w:pPr>
        <w:pStyle w:val="BodyText"/>
      </w:pPr>
      <w:r>
        <w:rPr>
          <w:b/>
          <w:bCs/>
        </w:rPr>
        <w:t xml:space="preserve">Paragraph 1 — the paradox and its repairs.</w:t>
      </w:r>
      <w:r>
        <w:t xml:space="preserve"> </w:t>
      </w:r>
      <w:r>
        <w:t xml:space="preserve">Fourier’s law makes the heat equation</w:t>
      </w:r>
      <w:r>
        <w:t xml:space="preserve"> </w:t>
      </w:r>
      <w:r>
        <w:t xml:space="preserve">parabolic, implying that a disturbance anywhere is felt instantly everywhere. The</w:t>
      </w:r>
      <w:r>
        <w:t xml:space="preserve"> </w:t>
      </w:r>
      <w:r>
        <w:t xml:space="preserve">Cattaneo–Vernotte modification introduces a flux relaxation time and restores a finite</w:t>
      </w:r>
      <w:r>
        <w:t xml:space="preserve"> </w:t>
      </w:r>
      <w:r>
        <w:t xml:space="preserve">propagation speed; Lord and Shulman built the first thermodynamically consistent</w:t>
      </w:r>
      <w:r>
        <w:t xml:space="preserve"> </w:t>
      </w:r>
      <w:r>
        <w:t xml:space="preserve">generalized thermoelasticity on it. Introduce second sound.</w:t>
      </w:r>
    </w:p>
    <w:p>
      <w:pPr>
        <w:pStyle w:val="BodyText"/>
      </w:pPr>
      <w:r>
        <w:rPr>
          <w:b/>
          <w:bCs/>
        </w:rPr>
        <w:t xml:space="preserve">Paragraph 2 — the family of theories.</w:t>
      </w:r>
      <w:r>
        <w:t xml:space="preserve"> </w:t>
      </w:r>
      <w:r>
        <w:t xml:space="preserve">Lord–Shulman (one relaxation time);</w:t>
      </w:r>
      <w:r>
        <w:t xml:space="preserve"> </w:t>
      </w:r>
      <w:r>
        <w:t xml:space="preserve">Green–Lindsay (two); Green–Naghdi types I, II and III, with type II famously dissipationless</w:t>
      </w:r>
      <w:r>
        <w:t xml:space="preserve"> </w:t>
      </w:r>
      <w:r>
        <w:t xml:space="preserve">and type III containing both a conductivity and a thermal-displacement conductivity;</w:t>
      </w:r>
      <w:r>
        <w:t xml:space="preserve"> </w:t>
      </w:r>
      <w:r>
        <w:t xml:space="preserve">Tzou’s dual-phase-lag with separate flux and gradient lags. Note the known result that</w:t>
      </w:r>
      <w:r>
        <w:t xml:space="preserve"> </w:t>
      </w:r>
      <w:r>
        <w:t xml:space="preserve">dual-phase-lag collapses onto Fourier when the two lags are equal — useful later as an</w:t>
      </w:r>
      <w:r>
        <w:t xml:space="preserve"> </w:t>
      </w:r>
      <w:r>
        <w:t xml:space="preserve">internal consistency check.</w:t>
      </w:r>
    </w:p>
    <w:p>
      <w:pPr>
        <w:pStyle w:val="BodyText"/>
      </w:pPr>
      <w:r>
        <w:rPr>
          <w:b/>
          <w:bCs/>
        </w:rPr>
        <w:t xml:space="preserve">Paragraph 3 — where they have been compared.</w:t>
      </w:r>
      <w:r>
        <w:t xml:space="preserve"> </w:t>
      </w:r>
      <w:r>
        <w:t xml:space="preserve">Comparative studies exist, largely for</w:t>
      </w:r>
      <w:r>
        <w:t xml:space="preserve"> </w:t>
      </w:r>
      <w:r>
        <w:t xml:space="preserve">homogeneous media or simple functionally graded profiles, and largely under idealized shock</w:t>
      </w:r>
      <w:r>
        <w:t xml:space="preserve"> </w:t>
      </w:r>
      <w:r>
        <w:t xml:space="preserve">loading. State clearly what is missing: a comparison on a</w:t>
      </w:r>
      <w:r>
        <w:t xml:space="preserve"> </w:t>
      </w:r>
      <w:r>
        <w:rPr>
          <w:i/>
          <w:iCs/>
        </w:rPr>
        <w:t xml:space="preserve">strongly heterogeneous</w:t>
      </w:r>
      <w:r>
        <w:t xml:space="preserve"> </w:t>
      </w:r>
      <w:r>
        <w:t xml:space="preserve">structure, where the through-thickness variation of conductivity, stiffness and thermal</w:t>
      </w:r>
      <w:r>
        <w:t xml:space="preserve"> </w:t>
      </w:r>
      <w:r>
        <w:t xml:space="preserve">inertia is itself large, and under</w:t>
      </w:r>
      <w:r>
        <w:t xml:space="preserve"> </w:t>
      </w:r>
      <w:r>
        <w:rPr>
          <w:i/>
          <w:iCs/>
        </w:rPr>
        <w:t xml:space="preserve">more than one</w:t>
      </w:r>
      <w:r>
        <w:t xml:space="preserve"> </w:t>
      </w:r>
      <w:r>
        <w:t xml:space="preserve">loading type, so that the</w:t>
      </w:r>
      <w:r>
        <w:t xml:space="preserve"> </w:t>
      </w:r>
      <w:r>
        <w:t xml:space="preserve">loading-dependence of the answer can be seen.</w:t>
      </w:r>
    </w:p>
    <w:p>
      <w:pPr>
        <w:pStyle w:val="BodyText"/>
      </w:pPr>
      <w:r>
        <w:rPr>
          <w:b/>
          <w:bCs/>
        </w:rPr>
        <w:t xml:space="preserve">Paragraph 4 — why this material class is the interesting test.</w:t>
      </w:r>
      <w:r>
        <w:t xml:space="preserve"> </w:t>
      </w:r>
      <w:r>
        <w:t xml:space="preserve">In a porous</w:t>
      </w:r>
      <w:r>
        <w:t xml:space="preserve"> </w:t>
      </w:r>
      <w:r>
        <w:t xml:space="preserve">GPL-reinforced wall the effective conductivity varies by an order of magnitude across the</w:t>
      </w:r>
      <w:r>
        <w:t xml:space="preserve"> </w:t>
      </w:r>
      <w:r>
        <w:t xml:space="preserve">thickness because of the percolation behaviour of the graphene network, and the porosity</w:t>
      </w:r>
      <w:r>
        <w:t xml:space="preserve"> </w:t>
      </w:r>
      <w:r>
        <w:t xml:space="preserve">independently modulates the thermal inertia. A thermal wave crossing such a wall is</w:t>
      </w:r>
      <w:r>
        <w:t xml:space="preserve"> </w:t>
      </w:r>
      <w:r>
        <w:t xml:space="preserve">refracted, partially reflected at every property change, and damped unevenly — precisely</w:t>
      </w:r>
      <w:r>
        <w:t xml:space="preserve"> </w:t>
      </w:r>
      <w:r>
        <w:t xml:space="preserve">the conditions under which theories that differ only in their wave term might be expected</w:t>
      </w:r>
      <w:r>
        <w:t xml:space="preserve"> </w:t>
      </w:r>
      <w:r>
        <w:t xml:space="preserve">to diverge most.</w:t>
      </w:r>
    </w:p>
    <w:p>
      <w:pPr>
        <w:pStyle w:val="BodyText"/>
      </w:pPr>
      <w:r>
        <w:rPr>
          <w:b/>
          <w:bCs/>
        </w:rPr>
        <w:t xml:space="preserve">Paragraph 5 — contribution.</w:t>
      </w:r>
    </w:p>
    <w:p>
      <w:pPr>
        <w:pStyle w:val="Compact"/>
        <w:numPr>
          <w:ilvl w:val="0"/>
          <w:numId w:val="1001"/>
        </w:numPr>
      </w:pPr>
      <w:r>
        <w:t xml:space="preserve">A four-theory comparison (Fourier / Lord–Shulman / dual-phase-lag / Green–Naghdi III)</w:t>
      </w:r>
      <w:r>
        <w:t xml:space="preserve"> </w:t>
      </w:r>
      <w:r>
        <w:t xml:space="preserve">on an identical discretization with matched parameters, for a multilayer porous</w:t>
      </w:r>
      <w:r>
        <w:t xml:space="preserve"> </w:t>
      </w:r>
      <w:r>
        <w:t xml:space="preserve">GPL-reinforced cylinder.</w:t>
      </w:r>
    </w:p>
    <w:p>
      <w:pPr>
        <w:pStyle w:val="Compact"/>
        <w:numPr>
          <w:ilvl w:val="0"/>
          <w:numId w:val="1001"/>
        </w:numPr>
      </w:pPr>
      <w:r>
        <w:t xml:space="preserve">The comparison repeated under two loading types, establishing that the answer to</w:t>
      </w:r>
      <w:r>
        <w:t xml:space="preserve"> </w:t>
      </w:r>
      <w:r>
        <w:t xml:space="preserve">“does</w:t>
      </w:r>
      <w:r>
        <w:t xml:space="preserve"> </w:t>
      </w:r>
      <w:r>
        <w:t xml:space="preserve">the theory matter?”</w:t>
      </w:r>
      <w:r>
        <w:t xml:space="preserve"> </w:t>
      </w:r>
      <w:r>
        <w:t xml:space="preserve">is loading-dependent, not material-dependent alone.</w:t>
      </w:r>
    </w:p>
    <w:p>
      <w:pPr>
        <w:pStyle w:val="Compact"/>
        <w:numPr>
          <w:ilvl w:val="0"/>
          <w:numId w:val="1001"/>
        </w:numPr>
      </w:pPr>
      <w:r>
        <w:t xml:space="preserve">Quantification of the Green–Naghdi III departure and attribution of it to the absent</w:t>
      </w:r>
      <w:r>
        <w:t xml:space="preserve"> </w:t>
      </w:r>
      <w:r>
        <w:t xml:space="preserve">dissipation mechanism.</w:t>
      </w:r>
    </w:p>
    <w:p>
      <w:pPr>
        <w:pStyle w:val="Compact"/>
        <w:numPr>
          <w:ilvl w:val="0"/>
          <w:numId w:val="1001"/>
        </w:numPr>
      </w:pPr>
      <w:r>
        <w:t xml:space="preserve">A relaxation-time sweep verifying that the measured wave arrival obeys the hyperbolic</w:t>
      </w:r>
      <w:r>
        <w:t xml:space="preserve"> </w:t>
      </w:r>
      <w:r>
        <w:t xml:space="preserve">prediction, with the coupled-field damping of the wave quantified separately.</w:t>
      </w:r>
    </w:p>
    <w:p>
      <w:r>
        <w:pict>
          <v:rect style="width:0;height:1.5pt" o:hralign="center" o:hrstd="t" o:hr="t"/>
        </w:pict>
      </w:r>
    </w:p>
    <w:bookmarkEnd w:id="10"/>
    <w:bookmarkStart w:id="11" w:name="the-four-theories-in-a-common-form"/>
    <w:p>
      <w:pPr>
        <w:pStyle w:val="Heading2"/>
      </w:pPr>
      <w:r>
        <w:t xml:space="preserve">2. The four theories in a common form</w:t>
      </w:r>
    </w:p>
    <w:p>
      <w:pPr>
        <w:pStyle w:val="FirstParagraph"/>
      </w:pPr>
      <w:r>
        <w:t xml:space="preserve">Write all four energy equations in a single parameterized form so that the comparison is</w:t>
      </w:r>
      <w:r>
        <w:t xml:space="preserve"> </w:t>
      </w:r>
      <w:r>
        <w:t xml:space="preserve">manifestly like-for-like. With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 dilatation:</w:t>
      </w:r>
    </w:p>
    <w:p>
      <w:pPr>
        <w:pStyle w:val="BodyText"/>
      </w:pPr>
      <w:r>
        <w:rPr>
          <w:b/>
          <w:bCs/>
        </w:rPr>
        <w:t xml:space="preserve">Classical coupled (Fourier).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t>c</m:t>
          </m:r>
          <m:r>
            <m:t> </m:t>
          </m:r>
          <m:acc>
            <m:accPr>
              <m:chr m:val="̇"/>
            </m:accPr>
            <m:e>
              <m:r>
                <m:t>θ</m:t>
              </m:r>
            </m:e>
          </m:acc>
          <m:r>
            <m:rPr>
              <m:sty m:val="p"/>
            </m:rPr>
            <m:t>+</m:t>
          </m:r>
          <m:r>
            <m:t>β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t> </m:t>
          </m:r>
          <m:acc>
            <m:accPr>
              <m:chr m:val="̇"/>
            </m:accPr>
            <m:e>
              <m:r>
                <m:t>e</m:t>
              </m:r>
            </m:e>
          </m:acc>
          <m:r>
            <m:rPr>
              <m:sty m:val="p"/>
            </m:rPr>
            <m:t>=</m:t>
          </m:r>
          <m:r>
            <m:t>k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θ</m:t>
          </m:r>
        </m:oMath>
      </m:oMathPara>
    </w:p>
    <w:p>
      <w:pPr>
        <w:pStyle w:val="FirstParagraph"/>
      </w:pPr>
      <w:r>
        <w:rPr>
          <w:b/>
          <w:bCs/>
        </w:rPr>
        <w:t xml:space="preserve">Lord–Shulman.</w:t>
      </w:r>
      <w:r>
        <w:t xml:space="preserve"> </w:t>
      </w:r>
      <w:r>
        <w:t xml:space="preserve">Flux relaxation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applied to both the storage and the coupling term: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t>c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̇"/>
            </m:accPr>
            <m:e>
              <m:r>
                <m:t>θ</m:t>
              </m:r>
            </m:e>
          </m:acc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0</m:t>
              </m:r>
            </m:sub>
          </m:sSub>
          <m:acc>
            <m:accPr>
              <m:chr m:val="̈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β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acc>
            <m:accPr>
              <m:chr m:val="̇"/>
            </m:accPr>
            <m:e>
              <m:r>
                <m:t>e</m:t>
              </m:r>
            </m:e>
          </m:acc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0</m:t>
              </m:r>
            </m:sub>
          </m:sSub>
          <m:acc>
            <m:accPr>
              <m:chr m:val="̈"/>
            </m:accPr>
            <m:e>
              <m:r>
                <m:t>e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k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θ</m:t>
          </m:r>
        </m:oMath>
      </m:oMathPara>
    </w:p>
    <w:p>
      <w:pPr>
        <w:pStyle w:val="FirstParagraph"/>
      </w:pPr>
      <w:r>
        <w:rPr>
          <w:b/>
          <w:bCs/>
        </w:rPr>
        <w:t xml:space="preserve">Dual-phase-lag.</w:t>
      </w:r>
      <w:r>
        <w:t xml:space="preserve"> </w:t>
      </w:r>
      <w:r>
        <w:t xml:space="preserve">Flux lag</w:t>
      </w:r>
      <w:r>
        <w:t xml:space="preserve"> </w:t>
      </w:r>
      <m:oMath>
        <m:sSub>
          <m:e>
            <m:r>
              <m:t>τ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and gradient lag</w:t>
      </w:r>
      <w:r>
        <w:t xml:space="preserve"> </w:t>
      </w:r>
      <m:oMath>
        <m:sSub>
          <m:e>
            <m:r>
              <m:t>τ</m:t>
            </m:r>
          </m:e>
          <m:sub>
            <m: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t>c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̇"/>
            </m:accPr>
            <m:e>
              <m:r>
                <m:t>θ</m:t>
              </m:r>
            </m:e>
          </m:acc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q</m:t>
              </m:r>
            </m:sub>
          </m:sSub>
          <m:acc>
            <m:accPr>
              <m:chr m:val="̈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β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acc>
            <m:accPr>
              <m:chr m:val="̇"/>
            </m:accPr>
            <m:e>
              <m:r>
                <m:t>e</m:t>
              </m:r>
            </m:e>
          </m:acc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q</m:t>
              </m:r>
            </m:sub>
          </m:sSub>
          <m:acc>
            <m:accPr>
              <m:chr m:val="̈"/>
            </m:accPr>
            <m:e>
              <m:r>
                <m:t>e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k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r>
            <m:t>k</m:t>
          </m:r>
          <m:sSub>
            <m:e>
              <m:r>
                <m:t>τ</m:t>
              </m:r>
            </m:e>
            <m:sub>
              <m:r>
                <m:t>T</m:t>
              </m:r>
            </m:sub>
          </m:sSub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acc>
            <m:accPr>
              <m:chr m:val="̇"/>
            </m:accPr>
            <m:e>
              <m:r>
                <m:t>θ</m:t>
              </m:r>
            </m:e>
          </m:acc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recovers Fourier; setting</w:t>
      </w:r>
      <w:r>
        <w:t xml:space="preserve"> </w:t>
      </w:r>
      <m:oMath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recovers Lord–Shulman.</w:t>
      </w:r>
    </w:p>
    <w:p>
      <w:pPr>
        <w:pStyle w:val="BodyText"/>
      </w:pPr>
      <w:r>
        <w:rPr>
          <w:b/>
          <w:bCs/>
        </w:rPr>
        <w:t xml:space="preserve">Green–Naghdi type III.</w:t>
      </w:r>
      <w:r>
        <w:t xml:space="preserve"> </w:t>
      </w:r>
      <w:r>
        <w:t xml:space="preserve">With the thermal-displacement conductivity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t>c</m:t>
          </m:r>
          <m:r>
            <m:t> </m:t>
          </m:r>
          <m:acc>
            <m:accPr>
              <m:chr m:val="̈"/>
            </m:accPr>
            <m:e>
              <m:r>
                <m:t>θ</m:t>
              </m:r>
            </m:e>
          </m:acc>
          <m:r>
            <m:rPr>
              <m:sty m:val="p"/>
            </m:rPr>
            <m:t>+</m:t>
          </m:r>
          <m:r>
            <m:t>β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t> </m:t>
          </m:r>
          <m:acc>
            <m:accPr>
              <m:chr m:val="̈"/>
            </m:accPr>
            <m:e>
              <m:r>
                <m:t>e</m:t>
              </m:r>
            </m:e>
          </m:acc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r>
            <m:t>k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acc>
            <m:accPr>
              <m:chr m:val="̇"/>
            </m:accPr>
            <m:e>
              <m:r>
                <m:t>θ</m:t>
              </m:r>
            </m:e>
          </m:acc>
        </m:oMath>
      </m:oMathPara>
    </w:p>
    <w:p>
      <w:pPr>
        <w:pStyle w:val="FirstParagraph"/>
      </w:pPr>
      <w:r>
        <w:rPr>
          <w:i/>
          <w:iCs/>
        </w:rPr>
        <w:t xml:space="preserve">[State the matched-parameter choices explicitly:</w:t>
      </w:r>
      <w:r>
        <w:rPr>
          <w:i/>
          <w:iCs/>
        </w:rPr>
        <w:t xml:space="preserve"> </w:t>
      </w:r>
      <m:oMath>
        <m:sSub>
          <m:e>
            <m:r>
              <m:t>τ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q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for DPL, and</w:t>
      </w:r>
      <w:r>
        <w:rPr>
          <w:i/>
          <w:iCs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sSub>
          <m:e>
            <m:r>
              <m:t>τ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GN-III so that its wave speed equals</w:t>
      </w:r>
      <w:r>
        <w:rPr>
          <w:i/>
          <w:iCs/>
        </w:rPr>
        <w:t xml:space="preserve"> </w:t>
      </w:r>
      <w:r>
        <w:rPr>
          <w:i/>
          <w:iCs/>
        </w:rPr>
        <w:t xml:space="preserve">the Lord–Shulman one. Matching the wave speeds is what makes the GN-III difference</w:t>
      </w:r>
      <w:r>
        <w:rPr>
          <w:i/>
          <w:iCs/>
        </w:rPr>
        <w:t xml:space="preserve"> </w:t>
      </w:r>
      <w:r>
        <w:rPr>
          <w:i/>
          <w:iCs/>
        </w:rPr>
        <w:t xml:space="preserve">attributable to the dissipation structure rather than to a different propagation speed.</w:t>
      </w:r>
      <w:r>
        <w:rPr>
          <w:i/>
          <w:iCs/>
        </w:rPr>
        <w:t xml:space="preserve"> </w:t>
      </w:r>
      <w:r>
        <w:rPr>
          <w:i/>
          <w:iCs/>
        </w:rPr>
        <w:t xml:space="preserve">Note the documented approximation that the flux boundary condition is kept in standard form</w:t>
      </w:r>
      <w:r>
        <w:rPr>
          <w:i/>
          <w:iCs/>
        </w:rPr>
        <w:t xml:space="preserve"> </w:t>
      </w:r>
      <w:r>
        <w:rPr>
          <w:i/>
          <w:iCs/>
        </w:rPr>
        <w:t xml:space="preserve">for GN-III.]</w:t>
      </w:r>
    </w:p>
    <w:p>
      <w:pPr>
        <w:pStyle w:val="BodyText"/>
      </w:pPr>
      <w:r>
        <w:rPr>
          <w:i/>
          <w:iCs/>
        </w:rPr>
        <w:t xml:space="preserve">[Figure 1: theory taxonomy schematic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figures_ch123/theory_taxonomy.png</w:t>
      </w:r>
      <w:r>
        <w:rPr>
          <w:i/>
          <w:iCs/>
        </w:rPr>
        <w:t xml:space="preserve">.]</w:t>
      </w:r>
    </w:p>
    <w:p>
      <w:r>
        <w:pict>
          <v:rect style="width:0;height:1.5pt" o:hralign="center" o:hrstd="t" o:hr="t"/>
        </w:pict>
      </w:r>
    </w:p>
    <w:bookmarkEnd w:id="11"/>
    <w:bookmarkStart w:id="12" w:name="Xbc1d722a099153a7a14d09b3c9bbcaf6ab3063e"/>
    <w:p>
      <w:pPr>
        <w:pStyle w:val="Heading2"/>
      </w:pPr>
      <w:r>
        <w:t xml:space="preserve">3. Model, discretization and verification — summary</w:t>
      </w:r>
    </w:p>
    <w:p>
      <w:pPr>
        <w:pStyle w:val="FirstParagraph"/>
      </w:pPr>
      <w:r>
        <w:t xml:space="preserve">Keep this section deliberately short and cite Paper 1 for the full treatment.</w:t>
      </w:r>
    </w:p>
    <w:p>
      <w:pPr>
        <w:pStyle w:val="BodyText"/>
      </w:pPr>
      <w:r>
        <w:t xml:space="preserve">Axisymmetric multilayer porous GPL-reinforced hollow cylinder; Halpin–Tsai effective</w:t>
      </w:r>
      <w:r>
        <w:t xml:space="preserve"> </w:t>
      </w:r>
      <w:r>
        <w:t xml:space="preserve">modulus, rule-of-mixtures density and specific heat, percolation-type effective</w:t>
      </w:r>
      <w:r>
        <w:t xml:space="preserve"> </w:t>
      </w:r>
      <w:r>
        <w:t xml:space="preserve">conductivity, porosity applied pointwise. Layerwise differential quadrature with Chebyshev</w:t>
      </w:r>
      <w:r>
        <w:t xml:space="preserve"> </w:t>
      </w:r>
      <w:r>
        <w:t xml:space="preserve">grids in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; Newmark time integration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 row</w:t>
      </w:r>
      <w:r>
        <w:t xml:space="preserve"> </w:t>
      </w:r>
      <w:r>
        <w:t xml:space="preserve">equilibration before a single factorization.</w:t>
      </w:r>
    </w:p>
    <w:p>
      <w:pPr>
        <w:pStyle w:val="BodyText"/>
      </w:pPr>
      <w:r>
        <w:t xml:space="preserve">Verification is reported in full in Paper 1. The test that matters here is the quantitative</w:t>
      </w:r>
      <w:r>
        <w:t xml:space="preserve"> </w:t>
      </w:r>
      <w:r>
        <w:t xml:space="preserve">second-sound benchmark: an exact Fourier–Bessel eigenfunction reference, itself verified to</w:t>
      </w:r>
      <w:r>
        <w:t xml:space="preserve"> </w:t>
      </w:r>
      <w:r>
        <w:t xml:space="preserve">1.9 × 10⁻¹⁶ of ΔT in the steady limit, to 4 × 10⁻⁶ for hyperbolic causality ahead of the</w:t>
      </w:r>
      <w:r>
        <w:t xml:space="preserve"> </w:t>
      </w:r>
      <w:r>
        <w:t xml:space="preserve">front, and to 0.16 % against the analytic ray law for the front-jump ratios. The present</w:t>
      </w:r>
      <w:r>
        <w:t xml:space="preserve"> </w:t>
      </w:r>
      <w:r>
        <w:t xml:space="preserve">solver matches it to 0.32 % pointwise and 0.065 % in L₂, with monotone convergence under</w:t>
      </w:r>
      <w:r>
        <w:t xml:space="preserve"> </w:t>
      </w:r>
      <w:r>
        <w:t xml:space="preserve">refinement. This establishes that the wave features discussed below are resolved physics</w:t>
      </w:r>
      <w:r>
        <w:t xml:space="preserve"> </w:t>
      </w:r>
      <w:r>
        <w:t xml:space="preserve">and not discretization artefacts — an essential precondition for a paper whose subject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wave term.</w:t>
      </w:r>
    </w:p>
    <w:p>
      <w:pPr>
        <w:pStyle w:val="BodyText"/>
      </w:pPr>
      <w:r>
        <w:rPr>
          <w:b/>
          <w:bCs/>
        </w:rPr>
        <w:t xml:space="preserve">Reference case.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m,</w:t>
      </w:r>
      <w: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m,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2.1</m:t>
        </m:r>
      </m:oMath>
      <w:r>
        <w:t xml:space="preserve"> </w:t>
      </w:r>
      <w:r>
        <w:t xml:space="preserve">m,</w:t>
      </w:r>
      <w: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; uniform graphene</w:t>
      </w:r>
      <w:r>
        <w:t xml:space="preserve"> </w:t>
      </w:r>
      <w:r>
        <w:t xml:space="preserve">at 0.3 % and uniform porosity; inner surface ramped 300 → 600 K 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s; internal</w:t>
      </w:r>
      <w:r>
        <w:t xml:space="preserve"> </w:t>
      </w:r>
      <w:r>
        <w:t xml:space="preserve">pressure 50 MPa; outer convection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W/m²K to 300 K; simply supported ends;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 to 3000 s. Dimensionless quantities as in Paper 1,</w:t>
      </w:r>
      <w:r>
        <w:t xml:space="preserve"> </w:t>
      </w:r>
      <w:r>
        <w:t xml:space="preserve">with the wall thickness as length scale and</w:t>
      </w:r>
      <w:r>
        <w:t xml:space="preserve"> </w:t>
      </w:r>
      <m:oMath>
        <m:acc>
          <m:accPr>
            <m:chr m:val="̂"/>
          </m:accPr>
          <m:e>
            <m:r>
              <m:t>α</m:t>
            </m:r>
          </m:e>
        </m:acc>
        <m:r>
          <m:rPr>
            <m:sty m:val="p"/>
          </m:rPr>
          <m:t>=</m:t>
        </m:r>
        <m:r>
          <m:t>8.97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m²/s.</w:t>
      </w:r>
    </w:p>
    <w:p>
      <w:r>
        <w:pict>
          <v:rect style="width:0;height:1.5pt" o:hralign="center" o:hrstd="t" o:hr="t"/>
        </w:pict>
      </w:r>
    </w:p>
    <w:bookmarkEnd w:id="12"/>
    <w:bookmarkStart w:id="17" w:name="results"/>
    <w:p>
      <w:pPr>
        <w:pStyle w:val="Heading2"/>
      </w:pPr>
      <w:r>
        <w:t xml:space="preserve">4. Results</w:t>
      </w:r>
    </w:p>
    <w:bookmarkStart w:id="13" w:name="X38f4ccd5d2797e6f2599af2b297d2b676571783"/>
    <w:p>
      <w:pPr>
        <w:pStyle w:val="Heading3"/>
      </w:pPr>
      <w:r>
        <w:t xml:space="preserve">4.1 The relaxation time and the wave signature</w:t>
      </w:r>
    </w:p>
    <w:p>
      <w:pPr>
        <w:pStyle w:val="FirstParagraph"/>
      </w:pPr>
      <w:r>
        <w:t xml:space="preserve">Before comparing theories it is necessary to establish that the Lord–Shulman wave is real</w:t>
      </w:r>
      <w:r>
        <w:t xml:space="preserve"> </w:t>
      </w:r>
      <w:r>
        <w:t xml:space="preserve">and correctly placed. The dimensionless relaxation time is swept over</w:t>
      </w:r>
      <w: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0.04</m:t>
        </m:r>
        <m:r>
          <m:rPr>
            <m:sty m:val="p"/>
          </m:rPr>
          <m:t>,</m:t>
        </m:r>
        <m:r>
          <m:t> </m:t>
        </m:r>
        <m:r>
          <m:t>0.15</m:t>
        </m:r>
        <m:r>
          <m:rPr>
            <m:sty m:val="p"/>
          </m:rPr>
          <m:t>,</m:t>
        </m:r>
        <m:r>
          <m:t> </m:t>
        </m:r>
        <m:r>
          <m:t>0.44</m:t>
        </m:r>
        <m:r>
          <m:rPr>
            <m:sty m:val="p"/>
          </m:rPr>
          <m:t>,</m:t>
        </m:r>
        <m:r>
          <m:t> </m:t>
        </m:r>
        <m:r>
          <m:t>0.87</m:t>
        </m:r>
      </m:oMath>
      <w:r>
        <w:t xml:space="preserve"> </w:t>
      </w:r>
      <w:r>
        <w:t xml:space="preserve">against the Fourier limit. The peak mid-wall</w:t>
      </w:r>
      <w:r>
        <w:t xml:space="preserve"> </w:t>
      </w:r>
      <w:r>
        <w:t xml:space="preserve">temperature rises monotonically: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τ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peak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t>o</m:t>
              </m:r>
            </m:oMath>
            <w:r>
              <w:t xml:space="preserve"> </w:t>
            </w:r>
            <w:r>
              <w:t xml:space="preserve">at peak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Fourier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0.950</w:t>
            </w:r>
          </w:p>
        </w:tc>
        <w:tc>
          <w:tcPr/>
          <w:p>
            <w:pPr>
              <w:pStyle w:val="Compact"/>
            </w:pPr>
            <w:r>
              <w:t xml:space="preserve">2.153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0.953</w:t>
            </w:r>
          </w:p>
        </w:tc>
        <w:tc>
          <w:tcPr/>
          <w:p>
            <w:pPr>
              <w:pStyle w:val="Compact"/>
            </w:pPr>
            <w:r>
              <w:t xml:space="preserve">2.153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0.962</w:t>
            </w:r>
          </w:p>
        </w:tc>
        <w:tc>
          <w:tcPr/>
          <w:p>
            <w:pPr>
              <w:pStyle w:val="Compact"/>
            </w:pPr>
            <w:r>
              <w:t xml:space="preserve">1.373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1.166</w:t>
            </w:r>
          </w:p>
        </w:tc>
        <w:tc>
          <w:tcPr/>
          <w:p>
            <w:pPr>
              <w:pStyle w:val="Compact"/>
            </w:pPr>
            <w:r>
              <w:t xml:space="preserve">1.675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  <w:tc>
          <w:tcPr/>
          <w:p>
            <w:pPr>
              <w:pStyle w:val="Compact"/>
            </w:pPr>
            <w:r>
              <w:t xml:space="preserve">1.271</w:t>
            </w:r>
          </w:p>
        </w:tc>
        <w:tc>
          <w:tcPr/>
          <w:p>
            <w:pPr>
              <w:pStyle w:val="Compact"/>
            </w:pPr>
            <w:r>
              <w:t xml:space="preserve">2.141</w:t>
            </w:r>
          </w:p>
        </w:tc>
      </w:tr>
    </w:tbl>
    <w:p>
      <w:pPr>
        <w:pStyle w:val="BodyText"/>
      </w:pPr>
      <w:r>
        <w:t xml:space="preserve">Two features are worth noting. The peak exceeds unity from</w:t>
      </w:r>
      <w: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0.44</m:t>
        </m:r>
      </m:oMath>
      <w:r>
        <w:t xml:space="preserve"> </w:t>
      </w:r>
      <w:r>
        <w:t xml:space="preserve">upward — that is,</w:t>
      </w:r>
      <w:r>
        <w:t xml:space="preserve"> </w:t>
      </w:r>
      <w:r>
        <w:t xml:space="preserve">the mid-wall temperature exceeds the inner-surface boundary value, which is impossible</w:t>
      </w:r>
      <w:r>
        <w:t xml:space="preserve"> </w:t>
      </w:r>
      <w:r>
        <w:t xml:space="preserve">under Fourier conduction and is the superposition of the incident and reflected thermal</w:t>
      </w:r>
      <w:r>
        <w:t xml:space="preserve"> </w:t>
      </w:r>
      <w:r>
        <w:t xml:space="preserve">waves. And the peak arrives</w:t>
      </w:r>
      <w:r>
        <w:t xml:space="preserve"> </w:t>
      </w:r>
      <w:r>
        <w:rPr>
          <w:i/>
          <w:iCs/>
        </w:rPr>
        <w:t xml:space="preserve">earlier</w:t>
      </w:r>
      <w:r>
        <w:t xml:space="preserve"> </w:t>
      </w:r>
      <w:r>
        <w:t xml:space="preserve">as the relaxation time grows into the intermediate</w:t>
      </w:r>
      <w:r>
        <w:t xml:space="preserve"> </w:t>
      </w:r>
      <w:r>
        <w:t xml:space="preserve">range, because the transport mechanism shifts from diffusion to propagation.</w:t>
      </w:r>
    </w:p>
    <w:p>
      <w:pPr>
        <w:pStyle w:val="BodyText"/>
      </w:pPr>
      <w:r>
        <w:t xml:space="preserve">The wave speed of the reference material,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α</m:t>
                </m:r>
              </m:e>
            </m:acc>
            <m:r>
              <m:rPr>
                <m:sty m:val="p"/>
              </m:rPr>
              <m:t>/</m:t>
            </m:r>
            <m:sSub>
              <m:e>
                <m:r>
                  <m:t>τ</m:t>
                </m:r>
              </m:e>
              <m:sub>
                <m:r>
                  <m:t>0</m:t>
                </m:r>
              </m:sub>
            </m:sSub>
          </m:e>
        </m:rad>
      </m:oMath>
      <w:r>
        <w:t xml:space="preserve">, predicts a</w:t>
      </w:r>
      <w:r>
        <w:t xml:space="preserve"> </w:t>
      </w:r>
      <w:r>
        <w:t xml:space="preserve">full-wall crossing at</w:t>
      </w:r>
      <w:r>
        <w:t xml:space="preserve"> </w:t>
      </w:r>
      <m:oMath>
        <m:r>
          <m:t>F</m:t>
        </m:r>
        <m:r>
          <m:t>o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τ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rad>
      </m:oMath>
      <w:r>
        <w:t xml:space="preserve">; the observed first arrival matches this, which</w:t>
      </w:r>
      <w:r>
        <w:t xml:space="preserve"> </w:t>
      </w:r>
      <w:r>
        <w:t xml:space="preserve">is the quantitative confirmation that what is seen is the second-sound front and not a</w:t>
      </w:r>
      <w:r>
        <w:t xml:space="preserve"> </w:t>
      </w:r>
      <w:r>
        <w:t xml:space="preserve">numerical transient.</w:t>
      </w:r>
    </w:p>
    <w:p>
      <w:pPr>
        <w:pStyle w:val="BodyText"/>
      </w:pPr>
      <w:r>
        <w:rPr>
          <w:i/>
          <w:iCs/>
        </w:rPr>
        <w:t xml:space="preserve">[Figure 2: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figures_ch4_color/C_relaxation.png</w:t>
      </w:r>
      <w:r>
        <w:rPr>
          <w:i/>
          <w:iCs/>
        </w:rPr>
        <w:t xml:space="preserve">, or the finer-mesh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C_relaxation_N35</w:t>
      </w:r>
      <w:r>
        <w:rPr>
          <w:i/>
          <w:iCs/>
        </w:rPr>
        <w:t xml:space="preserve"> </w:t>
      </w:r>
      <w:r>
        <w:rPr>
          <w:i/>
          <w:iCs/>
        </w:rPr>
        <w:t xml:space="preserve">variant. Figures 3–4: wave-front snapshots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BASE_wavefront.png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C_TAU_087_wavefront.png</w:t>
      </w:r>
      <w:r>
        <w:rPr>
          <w:i/>
          <w:iCs/>
        </w:rPr>
        <w:t xml:space="preserve">.]</w:t>
      </w:r>
    </w:p>
    <w:p>
      <w:pPr>
        <w:pStyle w:val="BodyText"/>
      </w:pPr>
      <w:r>
        <w:rPr>
          <w:b/>
          <w:bCs/>
        </w:rPr>
        <w:t xml:space="preserve">A note on the magnitude of</w:t>
      </w:r>
      <w:r>
        <w:rPr>
          <w:b/>
          <w:bCs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The relaxation times that make the wave clearly</w:t>
      </w:r>
      <w:r>
        <w:t xml:space="preserve"> </w:t>
      </w:r>
      <w:r>
        <w:t xml:space="preserve">visible here are far above any measured value for a polymer-matrix composite. They are used</w:t>
      </w:r>
      <w:r>
        <w:t xml:space="preserve"> </w:t>
      </w:r>
      <w:r>
        <w:t xml:space="preserve">as a parametric device to expose the structure of the solution, not as a claim about the</w:t>
      </w:r>
      <w:r>
        <w:t xml:space="preserve"> </w:t>
      </w:r>
      <w:r>
        <w:t xml:space="preserve">material — and this should be stated plainly in the paper rather than left for a referee to</w:t>
      </w:r>
      <w:r>
        <w:t xml:space="preserve"> </w:t>
      </w:r>
      <w:r>
        <w:t xml:space="preserve">raise. The physically realistic regime for this material is the small-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end, where</w:t>
      </w:r>
      <w:r>
        <w:t xml:space="preserve"> </w:t>
      </w:r>
      <w:r>
        <w:t xml:space="preserve">the paper’s own conclusion is that the theory choice barely matters under slow loading.</w:t>
      </w:r>
    </w:p>
    <w:bookmarkEnd w:id="13"/>
    <w:bookmarkStart w:id="14" w:name="the-four-theories-under-ramp-loading"/>
    <w:p>
      <w:pPr>
        <w:pStyle w:val="Heading3"/>
      </w:pPr>
      <w:r>
        <w:t xml:space="preserve">4.2 The four theories under ramp loading</w:t>
      </w:r>
    </w:p>
    <w:p>
      <w:pPr>
        <w:pStyle w:val="FirstParagraph"/>
      </w:pPr>
      <w:r>
        <w:t xml:space="preserve">With matched parameters the peak mid-wall temperatures order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Fourier </m:t>
          </m:r>
          <m:r>
            <m:t>0.950</m:t>
          </m:r>
          <m:r>
            <m:t> </m:t>
          </m:r>
          <m:r>
            <m:rPr>
              <m:sty m:val="p"/>
            </m:rPr>
            <m:t>&lt;</m:t>
          </m:r>
          <m:r>
            <m:t> </m:t>
          </m:r>
          <m:r>
            <m:rPr>
              <m:nor/>
              <m:sty m:val="p"/>
            </m:rPr>
            <m:t>DPL </m:t>
          </m:r>
          <m:r>
            <m:t>0.956</m:t>
          </m:r>
          <m:r>
            <m:t> </m:t>
          </m:r>
          <m:r>
            <m:rPr>
              <m:sty m:val="p"/>
            </m:rPr>
            <m:t>&lt;</m:t>
          </m:r>
          <m:r>
            <m:t> </m:t>
          </m:r>
          <m:r>
            <m:rPr>
              <m:nor/>
              <m:sty m:val="p"/>
            </m:rPr>
            <m:t>Lord–Shulman </m:t>
          </m:r>
          <m:r>
            <m:t>0.962</m:t>
          </m:r>
          <m:r>
            <m:t> </m:t>
          </m:r>
          <m:r>
            <m:rPr>
              <m:sty m:val="p"/>
            </m:rPr>
            <m:t>≪</m:t>
          </m:r>
          <m:r>
            <m:t> </m:t>
          </m:r>
          <m:r>
            <m:rPr>
              <m:nor/>
              <m:sty m:val="p"/>
            </m:rPr>
            <m:t>Green–Naghdi III </m:t>
          </m:r>
          <m:r>
            <m:t>1.581</m:t>
          </m:r>
        </m:oMath>
      </m:oMathPara>
    </w:p>
    <w:p>
      <w:pPr>
        <w:pStyle w:val="FirstParagraph"/>
      </w:pPr>
      <w:r>
        <w:t xml:space="preserve">Two observations follow.</w:t>
      </w:r>
    </w:p>
    <w:p>
      <w:pPr>
        <w:pStyle w:val="BodyText"/>
      </w:pPr>
      <w:r>
        <w:rPr>
          <w:b/>
          <w:bCs/>
        </w:rPr>
        <w:t xml:space="preserve">The three dissipative theories nearly coincide.</w:t>
      </w:r>
      <w:r>
        <w:t xml:space="preserve"> </w:t>
      </w:r>
      <w:r>
        <w:t xml:space="preserve">At the mild reference relaxation time</w:t>
      </w:r>
      <w:r>
        <w:t xml:space="preserve"> </w:t>
      </w:r>
      <w:r>
        <w:t xml:space="preserve">the spread between Fourier and Lord–Shulman is about 1.3 %, and the dual-phase-lag result</w:t>
      </w:r>
      <w:r>
        <w:t xml:space="preserve"> </w:t>
      </w:r>
      <w:r>
        <w:t xml:space="preserve">sits between them, as the structure of its energy equation requires. As an internal check,</w:t>
      </w:r>
      <w:r>
        <w:t xml:space="preserve"> </w:t>
      </w:r>
      <w:r>
        <w:t xml:space="preserve">setting</w:t>
      </w:r>
      <w:r>
        <w:t xml:space="preserve"> </w:t>
      </w:r>
      <m:oMath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reproduces the Fourier solution to nine digits — the known</w:t>
      </w:r>
      <w:r>
        <w:t xml:space="preserve"> </w:t>
      </w:r>
      <w:r>
        <w:t xml:space="preserve">collapse, recovered here as a verification of the implementation rather than as a new</w:t>
      </w:r>
      <w:r>
        <w:t xml:space="preserve"> </w:t>
      </w:r>
      <w:r>
        <w:t xml:space="preserve">result.</w:t>
      </w:r>
    </w:p>
    <w:p>
      <w:pPr>
        <w:pStyle w:val="BodyText"/>
      </w:pPr>
      <w:r>
        <w:rPr>
          <w:b/>
          <w:bCs/>
        </w:rPr>
        <w:t xml:space="preserve">Green–Naghdi III stands apart, and qualitatively so.</w:t>
      </w:r>
      <w:r>
        <w:t xml:space="preserve"> </w:t>
      </w:r>
      <w:r>
        <w:t xml:space="preserve">Its peak of 1.581 arrives early,</w:t>
      </w:r>
      <w:r>
        <w:t xml:space="preserve"> </w:t>
      </w:r>
      <w:r>
        <w:t xml:space="preserve">at</w:t>
      </w:r>
      <w:r>
        <w:t xml:space="preserve"> </w:t>
      </w:r>
      <m:oMath>
        <m:r>
          <m:t>F</m:t>
        </m:r>
        <m:r>
          <m:t>o</m:t>
        </m:r>
        <m:r>
          <m:rPr>
            <m:sty m:val="p"/>
          </m:rPr>
          <m:t>≈</m:t>
        </m:r>
        <m:r>
          <m:t>0.33</m:t>
        </m:r>
      </m:oMath>
      <w:r>
        <w:t xml:space="preserve">, and the field then relaxes only slowly, still at 0.870 at the end of</w:t>
      </w:r>
      <w:r>
        <w:t xml:space="preserve"> </w:t>
      </w:r>
      <w:r>
        <w:t xml:space="preserve">the window where the other three have settled. The cause is structural: the GN-III energy</w:t>
      </w:r>
      <w:r>
        <w:t xml:space="preserve"> </w:t>
      </w:r>
      <w:r>
        <w:t xml:space="preserve">equation, with the wave speed matched to Lord–Shulman’s, lacks the dissipative term that</w:t>
      </w:r>
      <w:r>
        <w:t xml:space="preserve"> </w:t>
      </w:r>
      <w:r>
        <w:t xml:space="preserve">damps the propagating disturbance in the other theories, so the energy injected at the</w:t>
      </w:r>
      <w:r>
        <w:t xml:space="preserve"> </w:t>
      </w:r>
      <w:r>
        <w:t xml:space="preserve">inner surface continues to slosh through the wall instead of decaying. The difference is</w:t>
      </w:r>
      <w:r>
        <w:t xml:space="preserve"> </w:t>
      </w:r>
      <w:r>
        <w:t xml:space="preserve">therefore not a matter of degree that could be absorbed by re-tuning a parameter — it is a</w:t>
      </w:r>
      <w:r>
        <w:t xml:space="preserve"> </w:t>
      </w:r>
      <w:r>
        <w:t xml:space="preserve">difference in long-time character, and it means a GN-III model of this structure will</w:t>
      </w:r>
      <w:r>
        <w:t xml:space="preserve"> </w:t>
      </w:r>
      <w:r>
        <w:t xml:space="preserve">predict persistent thermal cycling that the other three theories do not.</w:t>
      </w:r>
    </w:p>
    <w:p>
      <w:pPr>
        <w:pStyle w:val="BodyText"/>
      </w:pPr>
      <w:r>
        <w:rPr>
          <w:i/>
          <w:iCs/>
        </w:rPr>
        <w:t xml:space="preserve">[Figure 5: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figures_ch4_color/T3_theories.png</w:t>
      </w:r>
      <w:r>
        <w:rPr>
          <w:i/>
          <w:iCs/>
        </w:rPr>
        <w:t xml:space="preserve">.]</w:t>
      </w:r>
    </w:p>
    <w:bookmarkEnd w:id="14"/>
    <w:bookmarkStart w:id="15" w:name="impulsive-loading-separates-the-theories"/>
    <w:p>
      <w:pPr>
        <w:pStyle w:val="Heading3"/>
      </w:pPr>
      <w:r>
        <w:t xml:space="preserve">4.3 Impulsive loading separates the theories</w:t>
      </w:r>
    </w:p>
    <w:p>
      <w:pPr>
        <w:pStyle w:val="FirstParagraph"/>
      </w:pPr>
      <w:r>
        <w:t xml:space="preserve">The ramp is replaced by a short Gaussian pulse of the inner-surface temperature, and the</w:t>
      </w:r>
      <w:r>
        <w:t xml:space="preserve"> </w:t>
      </w:r>
      <w:r>
        <w:t xml:space="preserve">Fourier and Lord–Shulman responses are compared at mid-thickness: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theory</w:t>
            </w:r>
          </w:p>
        </w:tc>
        <w:tc>
          <w:tcPr/>
          <w:p>
            <w:pPr>
              <w:pStyle w:val="Compact"/>
            </w:pPr>
            <w:r>
              <w:t xml:space="preserve">peak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t>o</m:t>
              </m:r>
            </m:oMath>
            <w:r>
              <w:t xml:space="preserve"> </w:t>
            </w:r>
            <w:r>
              <w:t xml:space="preserve">at peak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at end of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Fourier</w:t>
            </w:r>
          </w:p>
        </w:tc>
        <w:tc>
          <w:tcPr/>
          <w:p>
            <w:pPr>
              <w:pStyle w:val="Compact"/>
            </w:pPr>
            <w:r>
              <w:t xml:space="preserve">0.195</w:t>
            </w:r>
          </w:p>
        </w:tc>
        <w:tc>
          <w:tcPr/>
          <w:p>
            <w:pPr>
              <w:pStyle w:val="Compact"/>
            </w:pPr>
            <w:r>
              <w:t xml:space="preserve">0.176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Lord–Shulman</w:t>
            </w:r>
          </w:p>
        </w:tc>
        <w:tc>
          <w:tcPr/>
          <w:p>
            <w:pPr>
              <w:pStyle w:val="Compact"/>
            </w:pPr>
            <w:r>
              <w:t xml:space="preserve">0.478</w:t>
            </w:r>
          </w:p>
        </w:tc>
        <w:tc>
          <w:tcPr/>
          <w:p>
            <w:pPr>
              <w:pStyle w:val="Compact"/>
            </w:pPr>
            <w:r>
              <w:t xml:space="preserve">0.306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</w:tbl>
    <w:p>
      <w:pPr>
        <w:pStyle w:val="BodyText"/>
      </w:pPr>
      <w:r>
        <w:t xml:space="preserve">Under Fourier conduction the pulse reaches mid-thickness early, smeared and weak, and has</w:t>
      </w:r>
      <w:r>
        <w:t xml:space="preserve"> </w:t>
      </w:r>
      <w:r>
        <w:t xml:space="preserve">practically disappeared by the end of the interval — the signature of diffusion, which</w:t>
      </w:r>
      <w:r>
        <w:t xml:space="preserve"> </w:t>
      </w:r>
      <w:r>
        <w:t xml:space="preserve">spreads a disturbance in time as it transports it. Under Lord–Shulman the pulse arrives</w:t>
      </w:r>
      <w:r>
        <w:t xml:space="preserve"> </w:t>
      </w:r>
      <w:r>
        <w:t xml:space="preserve">later, because it travels at a finite speed, roughly two and a half times stronger, because</w:t>
      </w:r>
      <w:r>
        <w:t xml:space="preserve"> </w:t>
      </w:r>
      <w:r>
        <w:t xml:space="preserve">it travels as a coherent packet rather than spreading, and leaves persistent oscillations</w:t>
      </w:r>
      <w:r>
        <w:t xml:space="preserve"> </w:t>
      </w:r>
      <w:r>
        <w:t xml:space="preserve">behind it as the packet reflects within the wall. A sharp second-sound front is visible</w:t>
      </w:r>
      <w:r>
        <w:t xml:space="preserve"> </w:t>
      </w:r>
      <w:r>
        <w:t xml:space="preserve">marching through the thickness.</w:t>
      </w:r>
    </w:p>
    <w:p>
      <w:pPr>
        <w:pStyle w:val="BodyText"/>
      </w:pPr>
      <w:r>
        <w:t xml:space="preserve">This is the paper’s most practically consequential result. For impulsive thermal loading</w:t>
      </w:r>
      <w:r>
        <w:t xml:space="preserve"> </w:t>
      </w:r>
      <w:r>
        <w:t xml:space="preserve">the classical theory does not merely shift the timing — it under-predicts the peak</w:t>
      </w:r>
      <w:r>
        <w:t xml:space="preserve"> </w:t>
      </w:r>
      <w:r>
        <w:t xml:space="preserve">transient temperature at mid-wall by a factor of about 2.5, and therefore under-predicts</w:t>
      </w:r>
      <w:r>
        <w:t xml:space="preserve"> </w:t>
      </w:r>
      <w:r>
        <w:t xml:space="preserve">the associated transient thermal stress. A design screened with a Fourier model against an</w:t>
      </w:r>
      <w:r>
        <w:t xml:space="preserve"> </w:t>
      </w:r>
      <w:r>
        <w:t xml:space="preserve">impulsive event is non-conservative.</w:t>
      </w:r>
    </w:p>
    <w:p>
      <w:pPr>
        <w:pStyle w:val="BodyText"/>
      </w:pPr>
      <w:r>
        <w:rPr>
          <w:i/>
          <w:iCs/>
        </w:rPr>
        <w:t xml:space="preserve">[Figure 6: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figures_ch4_color/M_gauss_shock.png</w:t>
      </w:r>
      <w:r>
        <w:rPr>
          <w:i/>
          <w:iCs/>
        </w:rPr>
        <w:t xml:space="preserve">.]</w:t>
      </w:r>
    </w:p>
    <w:bookmarkEnd w:id="15"/>
    <w:bookmarkStart w:id="16" w:name="thermoelastic-damping-of-the-wave"/>
    <w:p>
      <w:pPr>
        <w:pStyle w:val="Heading3"/>
      </w:pPr>
      <w:r>
        <w:t xml:space="preserve">4.4 Thermoelastic damping of the wave</w:t>
      </w:r>
    </w:p>
    <w:p>
      <w:pPr>
        <w:pStyle w:val="FirstParagraph"/>
      </w:pPr>
      <w:r>
        <w:t xml:space="preserve">Comparing the fully coupled model with the uncoupled one (dilatation-rate term removed from</w:t>
      </w:r>
      <w:r>
        <w:t xml:space="preserve"> </w:t>
      </w:r>
      <w:r>
        <w:t xml:space="preserve">the energy equation) isolates the mechanical feedback on the thermal field. The uncoupled</w:t>
      </w:r>
      <w:r>
        <w:t xml:space="preserve"> </w:t>
      </w:r>
      <w:r>
        <w:t xml:space="preserve">model overestimates the peak mid-point temperature by about 1.2 % (0.937 against 0.926) at</w:t>
      </w:r>
      <w:r>
        <w:t xml:space="preserve"> </w:t>
      </w:r>
      <w:r>
        <w:t xml:space="preserve">the reference conditions, with the largest discrepancy occurring exactly at the wave</w:t>
      </w:r>
      <w:r>
        <w:t xml:space="preserve"> </w:t>
      </w:r>
      <w:r>
        <w:t xml:space="preserve">fronts. Part of the thermal energy is continuously converted into mechanical work — a</w:t>
      </w:r>
      <w:r>
        <w:t xml:space="preserve"> </w:t>
      </w:r>
      <w:r>
        <w:t xml:space="preserve">thermoelastic damping of the thermal wave — so the uncoupled model is non-conservative</w:t>
      </w:r>
      <w:r>
        <w:t xml:space="preserve"> </w:t>
      </w:r>
      <w:r>
        <w:t xml:space="preserve">where the wave is sharpest. The effect is modest at the mild reference relaxation time but</w:t>
      </w:r>
      <w:r>
        <w:t xml:space="preserve"> </w:t>
      </w:r>
      <w:r>
        <w:t xml:space="preserve">grows with the strength of the wave, which means that the loading regime where the</w:t>
      </w:r>
      <w:r>
        <w:t xml:space="preserve"> </w:t>
      </w:r>
      <w:r>
        <w:t xml:space="preserve">generalized theory matters most is also the regime where dropping the coupling is least</w:t>
      </w:r>
      <w:r>
        <w:t xml:space="preserve"> </w:t>
      </w:r>
      <w:r>
        <w:t xml:space="preserve">acceptable.</w:t>
      </w:r>
    </w:p>
    <w:p>
      <w:pPr>
        <w:pStyle w:val="BodyText"/>
      </w:pPr>
      <w:r>
        <w:rPr>
          <w:i/>
          <w:iCs/>
        </w:rPr>
        <w:t xml:space="preserve">[Figure 7: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figures_ch4_color/I_coupling.png</w:t>
      </w:r>
      <w:r>
        <w:rPr>
          <w:i/>
          <w:iCs/>
        </w:rPr>
        <w:t xml:space="preserve">.]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conclusions"/>
    <w:p>
      <w:pPr>
        <w:pStyle w:val="Heading2"/>
      </w:pPr>
      <w:r>
        <w:t xml:space="preserve">5. Conclusions</w:t>
      </w:r>
    </w:p>
    <w:p>
      <w:pPr>
        <w:pStyle w:val="Compact"/>
        <w:numPr>
          <w:ilvl w:val="0"/>
          <w:numId w:val="1002"/>
        </w:numPr>
      </w:pPr>
      <w:r>
        <w:t xml:space="preserve">For a multilayer porous GPL-reinforced cylinder under</w:t>
      </w:r>
      <w:r>
        <w:t xml:space="preserve"> </w:t>
      </w:r>
      <w:r>
        <w:rPr>
          <w:i/>
          <w:iCs/>
        </w:rPr>
        <w:t xml:space="preserve">slow</w:t>
      </w:r>
      <w:r>
        <w:t xml:space="preserve"> </w:t>
      </w:r>
      <w:r>
        <w:t xml:space="preserve">thermal loading at a</w:t>
      </w:r>
      <w:r>
        <w:t xml:space="preserve"> </w:t>
      </w:r>
      <w:r>
        <w:t xml:space="preserve">physically plausible relaxation time, the classical Fourier, dual-phase-lag and</w:t>
      </w:r>
      <w:r>
        <w:t xml:space="preserve"> </w:t>
      </w:r>
      <w:r>
        <w:t xml:space="preserve">Lord–Shulman theories give nearly the same answer (0.950, 0.956, 0.962). The choice</w:t>
      </w:r>
      <w:r>
        <w:t xml:space="preserve"> </w:t>
      </w:r>
      <w:r>
        <w:t xml:space="preserve">between them is not the leading source of uncertainty.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rPr>
          <w:i/>
          <w:iCs/>
        </w:rPr>
        <w:t xml:space="preserve">impulsive</w:t>
      </w:r>
      <w:r>
        <w:t xml:space="preserve"> </w:t>
      </w:r>
      <w:r>
        <w:t xml:space="preserve">loading the same theories diverge decisively: the Lord–Shulman pulse</w:t>
      </w:r>
      <w:r>
        <w:t xml:space="preserve"> </w:t>
      </w:r>
      <w:r>
        <w:t xml:space="preserve">reaches mid-wall about 2.5 times stronger than the Fourier one and persists, while the</w:t>
      </w:r>
      <w:r>
        <w:t xml:space="preserve"> </w:t>
      </w:r>
      <w:r>
        <w:t xml:space="preserve">classical pulse smears and vanishes. The answer to</w:t>
      </w:r>
      <w:r>
        <w:t xml:space="preserve"> </w:t>
      </w:r>
      <w:r>
        <w:t xml:space="preserve">“does the theory matter?”</w:t>
      </w:r>
      <w:r>
        <w:t xml:space="preserve"> </w:t>
      </w:r>
      <w:r>
        <w:t xml:space="preserve">is</w:t>
      </w:r>
      <w:r>
        <w:t xml:space="preserve"> </w:t>
      </w:r>
      <w:r>
        <w:t xml:space="preserve">therefore a property of the loading, not of the material alone.</w:t>
      </w:r>
    </w:p>
    <w:p>
      <w:pPr>
        <w:pStyle w:val="Compact"/>
        <w:numPr>
          <w:ilvl w:val="0"/>
          <w:numId w:val="1002"/>
        </w:numPr>
      </w:pPr>
      <w:r>
        <w:t xml:space="preserve">Green–Naghdi type III is qualitatively different from the other three even at matched</w:t>
      </w:r>
      <w:r>
        <w:t xml:space="preserve"> </w:t>
      </w:r>
      <w:r>
        <w:t xml:space="preserve">wave speed, overshooting to 1.581 and relaxing only slowly, because its energy equation</w:t>
      </w:r>
      <w:r>
        <w:t xml:space="preserve"> </w:t>
      </w:r>
      <w:r>
        <w:t xml:space="preserve">has no dissipative mechanism. It should not be treated as interchangeable with</w:t>
      </w:r>
      <w:r>
        <w:t xml:space="preserve"> </w:t>
      </w:r>
      <w:r>
        <w:t xml:space="preserve">Lord–Shulman.</w:t>
      </w:r>
    </w:p>
    <w:p>
      <w:pPr>
        <w:pStyle w:val="Compact"/>
        <w:numPr>
          <w:ilvl w:val="0"/>
          <w:numId w:val="1002"/>
        </w:numPr>
      </w:pPr>
      <w:r>
        <w:t xml:space="preserve">Dual-phase-lag interpolates between Fourier and Lord–Shulman and collapses onto Fourier</w:t>
      </w:r>
      <w:r>
        <w:t xml:space="preserve"> </w:t>
      </w:r>
      <w:r>
        <w:t xml:space="preserve">at equal lags, recovered here to nine digits as an implementation check.</w:t>
      </w:r>
    </w:p>
    <w:p>
      <w:pPr>
        <w:pStyle w:val="Compact"/>
        <w:numPr>
          <w:ilvl w:val="0"/>
          <w:numId w:val="1002"/>
        </w:numPr>
      </w:pPr>
      <w:r>
        <w:t xml:space="preserve">Full field coupling damps the thermal wave; the uncoupled approximation is</w:t>
      </w:r>
      <w:r>
        <w:t xml:space="preserve"> </w:t>
      </w:r>
      <w:r>
        <w:t xml:space="preserve">non-conservative at the wave fronts, and increasingly so as the wave strengthens.</w:t>
      </w:r>
    </w:p>
    <w:p>
      <w:r>
        <w:pict>
          <v:rect style="width:0;height:1.5pt" o:hralign="center" o:hrstd="t" o:hr="t"/>
        </w:pict>
      </w:r>
    </w:p>
    <w:bookmarkEnd w:id="18"/>
    <w:bookmarkStart w:id="19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i/>
          <w:iCs/>
        </w:rPr>
        <w:t xml:space="preserve">[Minimum set; renumber to journal style.]</w:t>
      </w:r>
    </w:p>
    <w:p>
      <w:pPr>
        <w:pStyle w:val="Compact"/>
        <w:numPr>
          <w:ilvl w:val="0"/>
          <w:numId w:val="1003"/>
        </w:numPr>
      </w:pPr>
      <w:r>
        <w:t xml:space="preserve">Lord HW, Shulman Y. A generalized dynamical theory of thermoelasticity.</w:t>
      </w:r>
      <w:r>
        <w:t xml:space="preserve"> </w:t>
      </w:r>
      <w:r>
        <w:rPr>
          <w:i/>
          <w:iCs/>
        </w:rPr>
        <w:t xml:space="preserve">J Mech Phys Solids</w:t>
      </w:r>
      <w:r>
        <w:t xml:space="preserve"> </w:t>
      </w:r>
      <w:r>
        <w:t xml:space="preserve">1967;15(5):299–309.</w:t>
      </w:r>
    </w:p>
    <w:p>
      <w:pPr>
        <w:pStyle w:val="Compact"/>
        <w:numPr>
          <w:ilvl w:val="0"/>
          <w:numId w:val="1003"/>
        </w:numPr>
      </w:pPr>
      <w:r>
        <w:t xml:space="preserve">Green AE, Naghdi PM. Thermoelasticity without energy dissipation.</w:t>
      </w:r>
      <w:r>
        <w:t xml:space="preserve"> </w:t>
      </w:r>
      <w:r>
        <w:rPr>
          <w:i/>
          <w:iCs/>
        </w:rPr>
        <w:t xml:space="preserve">J Elasticity</w:t>
      </w:r>
      <w:r>
        <w:t xml:space="preserve"> </w:t>
      </w:r>
      <w:r>
        <w:t xml:space="preserve">1993;31(3):189–208.</w:t>
      </w:r>
    </w:p>
    <w:p>
      <w:pPr>
        <w:pStyle w:val="Compact"/>
        <w:numPr>
          <w:ilvl w:val="0"/>
          <w:numId w:val="1003"/>
        </w:numPr>
      </w:pPr>
      <w:r>
        <w:t xml:space="preserve">Green AE, Naghdi PM. On undamped heat waves in an elastic solid.</w:t>
      </w:r>
      <w:r>
        <w:t xml:space="preserve"> </w:t>
      </w:r>
      <w:r>
        <w:rPr>
          <w:i/>
          <w:iCs/>
        </w:rPr>
        <w:t xml:space="preserve">J Thermal Stresses</w:t>
      </w:r>
      <w:r>
        <w:t xml:space="preserve"> </w:t>
      </w:r>
      <w:r>
        <w:t xml:space="preserve">1992;15(2):253–64.</w:t>
      </w:r>
    </w:p>
    <w:p>
      <w:pPr>
        <w:pStyle w:val="Compact"/>
        <w:numPr>
          <w:ilvl w:val="0"/>
          <w:numId w:val="1003"/>
        </w:numPr>
      </w:pPr>
      <w:r>
        <w:t xml:space="preserve">Tzou DY. A unified field approach for heat conduction from macro- to micro-scales.</w:t>
      </w:r>
      <w:r>
        <w:t xml:space="preserve"> </w:t>
      </w:r>
      <w:r>
        <w:rPr>
          <w:i/>
          <w:iCs/>
        </w:rPr>
        <w:t xml:space="preserve">J Heat Transfer</w:t>
      </w:r>
      <w:r>
        <w:t xml:space="preserve"> </w:t>
      </w:r>
      <w:r>
        <w:t xml:space="preserve">1995;117(1):8–16.</w:t>
      </w:r>
    </w:p>
    <w:p>
      <w:pPr>
        <w:pStyle w:val="Compact"/>
        <w:numPr>
          <w:ilvl w:val="0"/>
          <w:numId w:val="1003"/>
        </w:numPr>
      </w:pPr>
      <w:r>
        <w:t xml:space="preserve">Cattaneo C. Sur une forme de l’équation de la chaleur…</w:t>
      </w:r>
      <w:r>
        <w:t xml:space="preserve"> </w:t>
      </w:r>
      <w:r>
        <w:rPr>
          <w:i/>
          <w:iCs/>
        </w:rPr>
        <w:t xml:space="preserve">C R Acad Sci</w:t>
      </w:r>
      <w:r>
        <w:t xml:space="preserve"> </w:t>
      </w:r>
      <w:r>
        <w:t xml:space="preserve">1958;247:431–3.</w:t>
      </w:r>
    </w:p>
    <w:p>
      <w:pPr>
        <w:pStyle w:val="Compact"/>
        <w:numPr>
          <w:ilvl w:val="0"/>
          <w:numId w:val="1003"/>
        </w:numPr>
      </w:pPr>
      <w:r>
        <w:t xml:space="preserve">Vernotte P. Les paradoxes de la théorie continue de l’équation de la chaleur.</w:t>
      </w:r>
      <w:r>
        <w:t xml:space="preserve"> </w:t>
      </w:r>
      <w:r>
        <w:rPr>
          <w:i/>
          <w:iCs/>
        </w:rPr>
        <w:t xml:space="preserve">C R Acad Sci</w:t>
      </w:r>
      <w:r>
        <w:t xml:space="preserve"> </w:t>
      </w:r>
      <w:r>
        <w:t xml:space="preserve">1958;246:3154–5.</w:t>
      </w:r>
    </w:p>
    <w:p>
      <w:pPr>
        <w:pStyle w:val="Compact"/>
        <w:numPr>
          <w:ilvl w:val="0"/>
          <w:numId w:val="1003"/>
        </w:numPr>
      </w:pPr>
      <w:r>
        <w:t xml:space="preserve">Bagri A, Eslami MR. A unified generalized thermoelasticity; solution for cylinders and spheres.</w:t>
      </w:r>
      <w:r>
        <w:t xml:space="preserve"> </w:t>
      </w:r>
      <w:r>
        <w:rPr>
          <w:i/>
          <w:iCs/>
        </w:rPr>
        <w:t xml:space="preserve">Int J Mech Sci</w:t>
      </w:r>
      <w:r>
        <w:t xml:space="preserve"> </w:t>
      </w:r>
      <w:r>
        <w:t xml:space="preserve">2007;49(12):1325–35.</w:t>
      </w:r>
    </w:p>
    <w:p>
      <w:pPr>
        <w:pStyle w:val="Compact"/>
        <w:numPr>
          <w:ilvl w:val="0"/>
          <w:numId w:val="1003"/>
        </w:numPr>
      </w:pPr>
      <w:r>
        <w:t xml:space="preserve">Ignaczak J, Ostoja-Starzewski M.</w:t>
      </w:r>
      <w:r>
        <w:t xml:space="preserve"> </w:t>
      </w:r>
      <w:r>
        <w:rPr>
          <w:i/>
          <w:iCs/>
        </w:rPr>
        <w:t xml:space="preserve">Thermoelasticity with Finite Wave Speeds</w:t>
      </w:r>
      <w:r>
        <w:t xml:space="preserve">. Oxford University Press; 2010.</w:t>
      </w:r>
    </w:p>
    <w:p>
      <w:pPr>
        <w:pStyle w:val="Compact"/>
        <w:numPr>
          <w:ilvl w:val="0"/>
          <w:numId w:val="1003"/>
        </w:numPr>
      </w:pPr>
      <w:r>
        <w:t xml:space="preserve">Hosseini SM, Abolbashari MH. Analytical solution for thermoelastic waves propagation in functionally graded cylinders without energy dissipation.</w:t>
      </w:r>
      <w:r>
        <w:t xml:space="preserve"> </w:t>
      </w:r>
      <w:r>
        <w:rPr>
          <w:i/>
          <w:iCs/>
        </w:rPr>
        <w:t xml:space="preserve">J Thermal Stresses</w:t>
      </w:r>
      <w:r>
        <w:t xml:space="preserve"> </w:t>
      </w:r>
      <w:r>
        <w:t xml:space="preserve">2012.</w:t>
      </w:r>
    </w:p>
    <w:p>
      <w:pPr>
        <w:pStyle w:val="Compact"/>
        <w:numPr>
          <w:ilvl w:val="0"/>
          <w:numId w:val="1003"/>
        </w:numPr>
      </w:pPr>
      <w:r>
        <w:t xml:space="preserve">Heydarpour Y, et al. Thermoelastic analysis of FG-GPLRC spherical shells based on Lord–Shulman theory.</w:t>
      </w:r>
      <w:r>
        <w:t xml:space="preserve"> </w:t>
      </w:r>
      <w:r>
        <w:rPr>
          <w:i/>
          <w:iCs/>
        </w:rPr>
        <w:t xml:space="preserve">Compos Part B</w:t>
      </w:r>
      <w:r>
        <w:t xml:space="preserve"> </w:t>
      </w:r>
      <w:r>
        <w:t xml:space="preserve">2019;164:400–24.</w:t>
      </w:r>
    </w:p>
    <w:p>
      <w:pPr>
        <w:pStyle w:val="Compact"/>
        <w:numPr>
          <w:ilvl w:val="0"/>
          <w:numId w:val="1003"/>
        </w:numPr>
      </w:pPr>
      <w:r>
        <w:t xml:space="preserve">Hosseini SM. Thermal shock response of graphene/CNT-reinforced structures under Gaussian heat source.</w:t>
      </w:r>
      <w:r>
        <w:t xml:space="preserve"> </w:t>
      </w:r>
      <w:r>
        <w:rPr>
          <w:i/>
          <w:iCs/>
        </w:rPr>
        <w:t xml:space="preserve">Thin-Walled Struct</w:t>
      </w:r>
      <w:r>
        <w:t xml:space="preserve"> </w:t>
      </w:r>
      <w:r>
        <w:t xml:space="preserve">2021;166:108108.</w:t>
      </w:r>
    </w:p>
    <w:p>
      <w:pPr>
        <w:pStyle w:val="Compact"/>
        <w:numPr>
          <w:ilvl w:val="0"/>
          <w:numId w:val="1003"/>
        </w:numPr>
      </w:pPr>
      <w:r>
        <w:t xml:space="preserve">Sherief HH, Elmisiery AEM, Elhagary MA. Generalized thermoelastic problem for an infinitely long hollow cylinder for short times.</w:t>
      </w:r>
      <w:r>
        <w:t xml:space="preserve"> </w:t>
      </w:r>
      <w:r>
        <w:rPr>
          <w:i/>
          <w:iCs/>
        </w:rPr>
        <w:t xml:space="preserve">J Thermal Stresses</w:t>
      </w:r>
      <w:r>
        <w:t xml:space="preserve"> </w:t>
      </w:r>
      <w:r>
        <w:t xml:space="preserve">2004;27(10).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[Paper 1 of this series — cite as submitted / in press.]</w:t>
      </w:r>
    </w:p>
    <w:p>
      <w:r>
        <w:pict>
          <v:rect style="width:0;height:1.5pt" o:hralign="center" o:hrstd="t" o:hr="t"/>
        </w:pict>
      </w:r>
    </w:p>
    <w:bookmarkEnd w:id="19"/>
    <w:bookmarkStart w:id="20" w:name="submission-checklist"/>
    <w:p>
      <w:pPr>
        <w:pStyle w:val="Heading2"/>
      </w:pPr>
      <w:r>
        <w:t xml:space="preserve">Submission checklist</w:t>
      </w:r>
    </w:p>
    <w:p>
      <w:pPr>
        <w:pStyle w:val="Compact"/>
        <w:numPr>
          <w:ilvl w:val="0"/>
          <w:numId w:val="1004"/>
        </w:numPr>
      </w:pPr>
      <w:r>
        <w:t xml:space="preserve">Confirm the GN-III boundary-condition approximation is stated explicitly (documented in the thesis as an approximation — a referee will look for it)</w:t>
      </w:r>
    </w:p>
    <w:p>
      <w:pPr>
        <w:pStyle w:val="Compact"/>
        <w:numPr>
          <w:ilvl w:val="0"/>
          <w:numId w:val="1005"/>
        </w:numPr>
      </w:pPr>
      <w:r>
        <w:t xml:space="preserve">State the parametric status of the large τ₀ values up front, not in response to review</w:t>
      </w:r>
    </w:p>
    <w:p>
      <w:pPr>
        <w:pStyle w:val="Compact"/>
        <w:numPr>
          <w:ilvl w:val="0"/>
          <w:numId w:val="1006"/>
        </w:numPr>
      </w:pPr>
      <w:r>
        <w:t xml:space="preserve">Keep §3 short; the full formulation belongs to Paper 1 and must not be reproduced verbatim</w:t>
      </w:r>
    </w:p>
    <w:p>
      <w:pPr>
        <w:pStyle w:val="Compact"/>
        <w:numPr>
          <w:ilvl w:val="0"/>
          <w:numId w:val="1007"/>
        </w:numPr>
      </w:pPr>
      <w:r>
        <w:t xml:space="preserve">Verify no figure here is also used in Paper 1 (allocation is in the portfolio note)</w:t>
      </w:r>
    </w:p>
    <w:p>
      <w:pPr>
        <w:pStyle w:val="Compact"/>
        <w:numPr>
          <w:ilvl w:val="0"/>
          <w:numId w:val="1008"/>
        </w:numPr>
      </w:pPr>
      <w:r>
        <w:t xml:space="preserve">Author order and thesis footnote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2026-09-26T19:21:09Z</dcterms:created>
  <dcterms:modified xsi:type="dcterms:W3CDTF">2026-09-26T19:21:09Z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ltr</vt:lpwstr>
  </property>
</Properties>
</file>