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91ab84452f81c5bf6fdd7e1dc24964865bb9df"/>
    <w:p>
      <w:pPr>
        <w:pStyle w:val="Heading1"/>
      </w:pPr>
      <w:r>
        <w:t xml:space="preserve">Spatial and temporal discretization of coupled generalized thermoelasticity: a measured comparison and an exact second-sound benchmark for layered cylinders</w:t>
      </w:r>
    </w:p>
    <w:p>
      <w:pPr>
        <w:pStyle w:val="FirstParagraph"/>
      </w:pPr>
      <w:r>
        <w:rPr>
          <w:b/>
          <w:bCs/>
        </w:rPr>
        <w:t xml:space="preserve">Authors.</w:t>
      </w:r>
      <w:r>
        <w:t xml:space="preserve"> </w:t>
      </w:r>
      <w:r>
        <w:rPr>
          <w:i/>
          <w:iCs/>
        </w:rPr>
        <w:t xml:space="preserve">[Author 1]</w:t>
      </w:r>
      <w:r>
        <w:t xml:space="preserve">ᵃ,</w:t>
      </w:r>
      <w:r>
        <w:t xml:space="preserve"> </w:t>
      </w:r>
      <w:r>
        <w:rPr>
          <w:i/>
          <w:iCs/>
        </w:rPr>
        <w:t xml:space="preserve">[Supervisor 1]</w:t>
      </w:r>
      <w:r>
        <w:t xml:space="preserve">ᵃ,</w:t>
      </w:r>
      <w:r>
        <w:t xml:space="preserve"> </w:t>
      </w:r>
      <w:r>
        <w:rPr>
          <w:i/>
          <w:iCs/>
        </w:rPr>
        <w:t xml:space="preserve">[Supervisor 2]</w:t>
      </w:r>
      <w:r>
        <w:t xml:space="preserve">ᵃ</w:t>
      </w:r>
      <w:r>
        <w:t xml:space="preserve"> </w:t>
      </w:r>
      <w:r>
        <w:t xml:space="preserve">ᵃ Department of Mechanical Engineering, Persian Gulf University, Bushehr, Iran</w:t>
      </w:r>
    </w:p>
    <w:p>
      <w:pPr>
        <w:pStyle w:val="BlockText"/>
      </w:pPr>
      <w:r>
        <w:rPr>
          <w:i/>
          <w:iCs/>
        </w:rPr>
        <w:t xml:space="preserve">Author order to be settled with the supervisors. Add the thesis-derivation footnote.</w:t>
      </w:r>
      <w:r>
        <w:t xml:space="preserve"> </w:t>
      </w:r>
      <w:r>
        <w:rPr>
          <w:i/>
          <w:iCs/>
        </w:rPr>
        <w:t xml:space="preserve">Cite Paper 1 for the formulation.</w:t>
      </w:r>
    </w:p>
    <w:p>
      <w:pPr>
        <w:pStyle w:val="FirstParagraph"/>
      </w:pPr>
      <w:r>
        <w:rPr>
          <w:b/>
          <w:bCs/>
        </w:rPr>
        <w:t xml:space="preserve">Target journal.</w:t>
      </w:r>
      <w:r>
        <w:t xml:space="preserve"> </w:t>
      </w:r>
      <w:r>
        <w:rPr>
          <w:i/>
          <w:iCs/>
        </w:rPr>
        <w:t xml:space="preserve">Applied Mathematical Modelling</w:t>
      </w:r>
      <w:r>
        <w:t xml:space="preserve"> </w:t>
      </w:r>
      <w:r>
        <w:t xml:space="preserve">(alternates:</w:t>
      </w:r>
      <w:r>
        <w:t xml:space="preserve"> </w:t>
      </w:r>
      <w:r>
        <w:rPr>
          <w:i/>
          <w:iCs/>
        </w:rPr>
        <w:t xml:space="preserve">Computers &amp; Structures</w:t>
      </w:r>
      <w:r>
        <w:t xml:space="preserve">,</w:t>
      </w:r>
      <w:r>
        <w:t xml:space="preserve"> </w:t>
      </w:r>
      <w:r>
        <w:rPr>
          <w:i/>
          <w:iCs/>
        </w:rPr>
        <w:t xml:space="preserve">Engineering with Computers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Coupled generalized thermoelasticity produces a stiff, strongly heterogeneous system in</w:t>
      </w:r>
      <w:r>
        <w:t xml:space="preserve"> </w:t>
      </w:r>
      <w:r>
        <w:t xml:space="preserve">which a hyperbolic thermal wave is carried alongside an essentially undamped elastic field,</w:t>
      </w:r>
      <w:r>
        <w:t xml:space="preserve"> </w:t>
      </w:r>
      <w:r>
        <w:t xml:space="preserve">and the numerical choices made in solving it are usually asserted rather than measured.</w:t>
      </w:r>
      <w:r>
        <w:t xml:space="preserve"> </w:t>
      </w:r>
      <w:r>
        <w:t xml:space="preserve">This paper reports a like-for-like comparison of five spatial discretizations and six time</w:t>
      </w:r>
      <w:r>
        <w:t xml:space="preserve"> </w:t>
      </w:r>
      <w:r>
        <w:t xml:space="preserve">integrators on identical problems with known exact solutions, together with an exact</w:t>
      </w:r>
      <w:r>
        <w:t xml:space="preserve"> </w:t>
      </w:r>
      <w:r>
        <w:t xml:space="preserve">benchmark that other second-sound codes can reuse. Differential quadrature on a Chebyshev</w:t>
      </w:r>
      <w:r>
        <w:t xml:space="preserve"> </w:t>
      </w:r>
      <w:r>
        <w:t xml:space="preserve">grid reaches the temporal error floor at roughly 9–11 points per direction, where quadratic</w:t>
      </w:r>
      <w:r>
        <w:t xml:space="preserve"> </w:t>
      </w:r>
      <w:r>
        <w:t xml:space="preserve">finite elements need about 21 and both linear finite elements and second-order finite</w:t>
      </w:r>
      <w:r>
        <w:t xml:space="preserve"> </w:t>
      </w:r>
      <w:r>
        <w:t xml:space="preserve">differences need about 161 — a fifteen-fold reduction per direction, squared in the plane.</w:t>
      </w:r>
      <w:r>
        <w:t xml:space="preserve"> </w:t>
      </w:r>
      <w:r>
        <w:t xml:space="preserve">The same study exposes a limitation rarely emphasized: the differential quadrature error</w:t>
      </w:r>
      <w:r>
        <w:t xml:space="preserve"> </w:t>
      </w:r>
      <w:r>
        <w:t xml:space="preserve">does not continue to fall but degrades and eventually breaks down under further refinement,</w:t>
      </w:r>
      <w:r>
        <w:t xml:space="preserve"> </w:t>
      </w:r>
      <w:r>
        <w:t xml:space="preserve">catastrophically so on a uniform grid, so the method has a usable window rather than a</w:t>
      </w:r>
      <w:r>
        <w:t xml:space="preserve"> </w:t>
      </w:r>
      <w:r>
        <w:t xml:space="preserve">convergence curve. Among the time integrators, Newmark, Houbolt and HHT-α are of</w:t>
      </w:r>
      <w:r>
        <w:t xml:space="preserve"> </w:t>
      </w:r>
      <w:r>
        <w:t xml:space="preserve">equal accuracy at equal step, Wilson-θ pays a five-fold error penalty for its added</w:t>
      </w:r>
      <w:r>
        <w:t xml:space="preserve"> </w:t>
      </w:r>
      <w:r>
        <w:t xml:space="preserve">dissipation, and the adaptive stiff solver buys one decimal digit at eight times the cost.</w:t>
      </w:r>
      <w:r>
        <w:t xml:space="preserve"> </w:t>
      </w:r>
      <w:r>
        <w:t xml:space="preserve">The Laplace-transform route is shown to fail</w:t>
      </w:r>
      <w:r>
        <w:t xml:space="preserve"> </w:t>
      </w:r>
      <w:r>
        <w:rPr>
          <w:i/>
          <w:iCs/>
        </w:rPr>
        <w:t xml:space="preserve">structurally</w:t>
      </w:r>
      <w:r>
        <w:t xml:space="preserve"> </w:t>
      </w:r>
      <w:r>
        <w:t xml:space="preserve">on the fully coupled system,</w:t>
      </w:r>
      <w:r>
        <w:t xml:space="preserve"> </w:t>
      </w:r>
      <w:r>
        <w:t xml:space="preserve">not merely to converge slowly: the undamped elastic poles of the coupled operator lie on the</w:t>
      </w:r>
      <w:r>
        <w:t xml:space="preserve"> </w:t>
      </w:r>
      <w:r>
        <w:t xml:space="preserve">Bromwich inversion contour, so the numerical inversion is poisoned by near-singular solves —</w:t>
      </w:r>
      <w:r>
        <w:t xml:space="preserve"> </w:t>
      </w:r>
      <w:r>
        <w:t xml:space="preserve">which explains why transform methods appear in this literature only when applied to the</w:t>
      </w:r>
      <w:r>
        <w:t xml:space="preserve"> </w:t>
      </w:r>
      <w:r>
        <w:t xml:space="preserve">thermal subsystem. Finally, an exact Fourier–Bessel eigenfunction solution for the</w:t>
      </w:r>
      <w:r>
        <w:t xml:space="preserve"> </w:t>
      </w:r>
      <w:r>
        <w:t xml:space="preserve">Lord–Shulman wave in a hollow cylinder is derived and independently verified (steady limit</w:t>
      </w:r>
      <w:r>
        <w:t xml:space="preserve"> </w:t>
      </w:r>
      <w:r>
        <w:t xml:space="preserve">to 1.9 × 10⁻¹⁶, hyperbolic causality to 4 × 10⁻⁶, front-jump ray law to 0.16 %), then used</w:t>
      </w:r>
      <w:r>
        <w:t xml:space="preserve"> </w:t>
      </w:r>
      <w:r>
        <w:t xml:space="preserve">to measure a layerwise differential quadrature solver at 0.32 % pointwise error.</w:t>
      </w:r>
    </w:p>
    <w:p>
      <w:pPr>
        <w:pStyle w:val="BodyText"/>
      </w:pPr>
      <w:r>
        <w:rPr>
          <w:b/>
          <w:bCs/>
        </w:rPr>
        <w:t xml:space="preserve">Keywords.</w:t>
      </w:r>
      <w:r>
        <w:t xml:space="preserve"> </w:t>
      </w:r>
      <w:r>
        <w:t xml:space="preserve">Generalized thermoelasticity; differential quadrature; time integration;</w:t>
      </w:r>
      <w:r>
        <w:t xml:space="preserve"> </w:t>
      </w:r>
      <w:r>
        <w:t xml:space="preserve">Laplace inversion; second sound; benchmark solution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rPr>
          <w:i/>
          <w:iCs/>
        </w:rPr>
        <w:t xml:space="preserve">[Target ≈ 900 words.]</w:t>
      </w:r>
    </w:p>
    <w:p>
      <w:pPr>
        <w:pStyle w:val="BodyText"/>
      </w:pPr>
      <w:r>
        <w:rPr>
          <w:b/>
          <w:bCs/>
        </w:rPr>
        <w:t xml:space="preserve">Paragraph 1 — what makes this system hard.</w:t>
      </w:r>
      <w:r>
        <w:t xml:space="preserve"> </w:t>
      </w:r>
      <w:r>
        <w:t xml:space="preserve">Coupled hyperbolic thermoelasticity carries</w:t>
      </w:r>
      <w:r>
        <w:t xml:space="preserve"> </w:t>
      </w:r>
      <w:r>
        <w:t xml:space="preserve">two very different physical timescales in one system: a thermal wave that is damped and</w:t>
      </w:r>
      <w:r>
        <w:t xml:space="preserve"> </w:t>
      </w:r>
      <w:r>
        <w:t xml:space="preserve">relatively slow, and an elastic field that is fast and essentially undamped. Spatial</w:t>
      </w:r>
      <w:r>
        <w:t xml:space="preserve"> </w:t>
      </w:r>
      <w:r>
        <w:t xml:space="preserve">discretization produces a stiff ordinary differential system whose eigenvalue spectrum</w:t>
      </w:r>
      <w:r>
        <w:t xml:space="preserve"> </w:t>
      </w:r>
      <w:r>
        <w:t xml:space="preserve">spans many orders of magnitude, and the boundary and interface conditions enter as</w:t>
      </w:r>
      <w:r>
        <w:t xml:space="preserve"> </w:t>
      </w:r>
      <w:r>
        <w:t xml:space="preserve">algebraic constraints, so the semi-discrete problem is a differential-algebraic system</w:t>
      </w:r>
      <w:r>
        <w:t xml:space="preserve"> </w:t>
      </w:r>
      <w:r>
        <w:t xml:space="preserve">rather than a pure ODE. Row scales differ by ten orders of magnitude between the thermal,</w:t>
      </w:r>
      <w:r>
        <w:t xml:space="preserve"> </w:t>
      </w:r>
      <w:r>
        <w:t xml:space="preserve">mechanical and constraint equations.</w:t>
      </w:r>
    </w:p>
    <w:p>
      <w:pPr>
        <w:pStyle w:val="BodyText"/>
      </w:pPr>
      <w:r>
        <w:rPr>
          <w:b/>
          <w:bCs/>
        </w:rPr>
        <w:t xml:space="preserve">Paragraph 2 — what the literature does.</w:t>
      </w:r>
      <w:r>
        <w:t xml:space="preserve"> </w:t>
      </w:r>
      <w:r>
        <w:t xml:space="preserve">Differential quadrature is widely used for this</w:t>
      </w:r>
      <w:r>
        <w:t xml:space="preserve"> </w:t>
      </w:r>
      <w:r>
        <w:t xml:space="preserve">class of problem and is routinely asserted to be more efficient than finite elements or</w:t>
      </w:r>
      <w:r>
        <w:t xml:space="preserve"> </w:t>
      </w:r>
      <w:r>
        <w:t xml:space="preserve">finite differences, usually without a controlled measurement on the same problem with the</w:t>
      </w:r>
      <w:r>
        <w:t xml:space="preserve"> </w:t>
      </w:r>
      <w:r>
        <w:t xml:space="preserve">same time march. Newmark is the default integrator, again largely by convention. Laplace</w:t>
      </w:r>
      <w:r>
        <w:t xml:space="preserve"> </w:t>
      </w:r>
      <w:r>
        <w:t xml:space="preserve">transform methods appear regularly, but — a point this paper takes up — essentially always</w:t>
      </w:r>
      <w:r>
        <w:t xml:space="preserve"> </w:t>
      </w:r>
      <w:r>
        <w:t xml:space="preserve">applied to the thermal subsystem alone.</w:t>
      </w:r>
    </w:p>
    <w:p>
      <w:pPr>
        <w:pStyle w:val="BodyText"/>
      </w:pPr>
      <w:r>
        <w:rPr>
          <w:b/>
          <w:bCs/>
        </w:rPr>
        <w:t xml:space="preserve">Paragraph 3 — verification practice.</w:t>
      </w:r>
      <w:r>
        <w:t xml:space="preserve"> </w:t>
      </w:r>
      <w:r>
        <w:t xml:space="preserve">Second-sound codes are frequently verified</w:t>
      </w:r>
      <w:r>
        <w:t xml:space="preserve"> </w:t>
      </w:r>
      <w:r>
        <w:t xml:space="preserve">qualitatively, by observing that a front appears and moves at about the right speed. Exact</w:t>
      </w:r>
      <w:r>
        <w:t xml:space="preserve"> </w:t>
      </w:r>
      <w:r>
        <w:t xml:space="preserve">references for the hyperbolic problem in a hollow cylinder are not readily available, and</w:t>
      </w:r>
      <w:r>
        <w:t xml:space="preserve"> </w:t>
      </w:r>
      <w:r>
        <w:t xml:space="preserve">digitizing figures from earlier papers is the common substitute.</w:t>
      </w:r>
    </w:p>
    <w:p>
      <w:pPr>
        <w:pStyle w:val="BodyText"/>
      </w:pPr>
      <w:r>
        <w:rPr>
          <w:b/>
          <w:bCs/>
        </w:rPr>
        <w:t xml:space="preserve">Paragraph 4 — contribution.</w:t>
      </w:r>
    </w:p>
    <w:p>
      <w:pPr>
        <w:pStyle w:val="Compact"/>
        <w:numPr>
          <w:ilvl w:val="0"/>
          <w:numId w:val="1001"/>
        </w:numPr>
      </w:pPr>
      <w:r>
        <w:t xml:space="preserve">A controlled comparison of five spatial discretizations on an identical problem with an</w:t>
      </w:r>
      <w:r>
        <w:t xml:space="preserve"> </w:t>
      </w:r>
      <w:r>
        <w:t xml:space="preserve">exact solution and an identical time march, reporting the node count each needs to reach</w:t>
      </w:r>
      <w:r>
        <w:t xml:space="preserve"> </w:t>
      </w:r>
      <w:r>
        <w:t xml:space="preserve">the temporal error floor.</w:t>
      </w:r>
    </w:p>
    <w:p>
      <w:pPr>
        <w:pStyle w:val="Compact"/>
        <w:numPr>
          <w:ilvl w:val="0"/>
          <w:numId w:val="1001"/>
        </w:numPr>
      </w:pPr>
      <w:r>
        <w:t xml:space="preserve">The observation that differential quadrature has a usable window rather than a</w:t>
      </w:r>
      <w:r>
        <w:t xml:space="preserve"> </w:t>
      </w:r>
      <w:r>
        <w:t xml:space="preserve">monotone convergence curve, with measured breakdown on both Chebyshev and uniform grids.</w:t>
      </w:r>
    </w:p>
    <w:p>
      <w:pPr>
        <w:pStyle w:val="Compact"/>
        <w:numPr>
          <w:ilvl w:val="0"/>
          <w:numId w:val="1001"/>
        </w:numPr>
      </w:pPr>
      <w:r>
        <w:t xml:space="preserve">A comparison of six time integrators on the same system, including cost.</w:t>
      </w:r>
    </w:p>
    <w:p>
      <w:pPr>
        <w:pStyle w:val="Compact"/>
        <w:numPr>
          <w:ilvl w:val="0"/>
          <w:numId w:val="1001"/>
        </w:numPr>
      </w:pPr>
      <w:r>
        <w:t xml:space="preserve">A structural — not merely practical — explanation of why the Laplace route fails on the</w:t>
      </w:r>
      <w:r>
        <w:t xml:space="preserve"> </w:t>
      </w:r>
      <w:r>
        <w:t xml:space="preserve">fully coupled operator, supported by two independent measured failures.</w:t>
      </w:r>
    </w:p>
    <w:p>
      <w:pPr>
        <w:pStyle w:val="Compact"/>
        <w:numPr>
          <w:ilvl w:val="0"/>
          <w:numId w:val="1001"/>
        </w:numPr>
      </w:pPr>
      <w:r>
        <w:t xml:space="preserve">An exact, independently verified Fourier–Bessel benchmark for the Lord–Shulman wave in a</w:t>
      </w:r>
      <w:r>
        <w:t xml:space="preserve"> </w:t>
      </w:r>
      <w:r>
        <w:t xml:space="preserve">hollow cylinder, offered for reuse.</w:t>
      </w:r>
    </w:p>
    <w:p>
      <w:r>
        <w:pict>
          <v:rect style="width:0;height:1.5pt" o:hralign="center" o:hrstd="t" o:hr="t"/>
        </w:pict>
      </w:r>
    </w:p>
    <w:bookmarkEnd w:id="10"/>
    <w:bookmarkStart w:id="11" w:name="model-problem-and-semi-discrete-system"/>
    <w:p>
      <w:pPr>
        <w:pStyle w:val="Heading2"/>
      </w:pPr>
      <w:r>
        <w:t xml:space="preserve">2. Model problem and semi-discrete system</w:t>
      </w:r>
    </w:p>
    <w:p>
      <w:pPr>
        <w:pStyle w:val="FirstParagraph"/>
      </w:pPr>
      <w:r>
        <w:t xml:space="preserve">Cite Paper 1 for the physical formulation; state here only what the numerical study needs.</w:t>
      </w:r>
    </w:p>
    <w:p>
      <w:pPr>
        <w:pStyle w:val="BodyText"/>
      </w:pPr>
      <w:r>
        <w:t xml:space="preserve">The semi-discrete system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M</m:t>
          </m:r>
          <m:acc>
            <m:accPr>
              <m:chr m:val="̈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acc>
            <m:accPr>
              <m:chr m:val="̇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K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collecting nodal temperatures and the two displacement components. Rows</w:t>
      </w:r>
      <w:r>
        <w:t xml:space="preserve"> </w:t>
      </w:r>
      <w:r>
        <w:t xml:space="preserve">arising from boundary and interface conditions are algebraic, with zero mass and damping</w:t>
      </w:r>
      <w:r>
        <w:t xml:space="preserve"> </w:t>
      </w:r>
      <w:r>
        <w:t xml:space="preserve">entries, so the system is an index-1 differential-algebraic one. The thermal rows scale as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, the mechanical rows as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 </w:t>
      </w:r>
      <w:r>
        <w:t xml:space="preserve">and the constraint rows as</w:t>
      </w:r>
      <w:r>
        <w:t xml:space="preserve"> </w:t>
      </w:r>
      <m:oMath>
        <m:r>
          <m:rPr>
            <m:sty m:val="p"/>
          </m:rPr>
          <m:t>∼</m:t>
        </m:r>
        <m:r>
          <m:t>1</m:t>
        </m:r>
      </m:oMath>
      <w:r>
        <w:t xml:space="preserve">;</w:t>
      </w:r>
      <w:r>
        <w:t xml:space="preserve"> </w:t>
      </w:r>
      <w:r>
        <w:t xml:space="preserve">each row is therefore equilibrated by its largest coefficient before factorization, which</w:t>
      </w:r>
      <w:r>
        <w:t xml:space="preserve"> </w:t>
      </w:r>
      <w:r>
        <w:t xml:space="preserve">reduces the condition number of the effective matrix by several orders of magnitude and is</w:t>
      </w:r>
      <w:r>
        <w:t xml:space="preserve"> </w:t>
      </w:r>
      <w:r>
        <w:t xml:space="preserve">a precondition for any of the comparisons that follow being meaningful.</w:t>
      </w:r>
    </w:p>
    <w:p>
      <w:pPr>
        <w:pStyle w:val="BodyText"/>
      </w:pPr>
      <w:r>
        <w:rPr>
          <w:i/>
          <w:iCs/>
        </w:rPr>
        <w:t xml:space="preserve">[Figure 1: node layout and DOF numbering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figures_ch123/DQM_nodes_schematic.png</w:t>
      </w:r>
      <w:r>
        <w:rPr>
          <w:i/>
          <w:iCs/>
        </w:rPr>
        <w:t xml:space="preserve">.]</w:t>
      </w:r>
    </w:p>
    <w:p>
      <w:r>
        <w:pict>
          <v:rect style="width:0;height:1.5pt" o:hralign="center" o:hrstd="t" o:hr="t"/>
        </w:pict>
      </w:r>
    </w:p>
    <w:bookmarkEnd w:id="11"/>
    <w:bookmarkStart w:id="15" w:name="X13fae8ee16664d4c86c4f0b71ab76f2a61bcd38"/>
    <w:p>
      <w:pPr>
        <w:pStyle w:val="Heading2"/>
      </w:pPr>
      <w:r>
        <w:t xml:space="preserve">3. An exact benchmark for the Lord–Shulman wave</w:t>
      </w:r>
    </w:p>
    <w:bookmarkStart w:id="12" w:name="construction"/>
    <w:p>
      <w:pPr>
        <w:pStyle w:val="Heading3"/>
      </w:pPr>
      <w:r>
        <w:t xml:space="preserve">3.1 Construction</w:t>
      </w:r>
    </w:p>
    <w:p>
      <w:pPr>
        <w:pStyle w:val="FirstParagraph"/>
      </w:pPr>
      <w:r>
        <w:t xml:space="preserve">The benchmark is constructed so that it can be compared against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solver</w:t>
      </w:r>
      <w:r>
        <w:t xml:space="preserve"> </w:t>
      </w:r>
      <w:r>
        <w:t xml:space="preserve">configuration rather than against an idealized separate problem. Disabling the coupling</w:t>
      </w:r>
      <w:r>
        <w:t xml:space="preserve"> </w:t>
      </w:r>
      <w:r>
        <w:t xml:space="preserve">term removes the only temperature-to-displacement feedback, so the energy row becomes</w:t>
      </w:r>
      <w:r>
        <w:t xml:space="preserve"> </w:t>
      </w:r>
      <w:r>
        <w:t xml:space="preserve">exactly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t>c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acc>
            <m:accPr>
              <m:chr m:val="̈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k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</m:e>
          </m:d>
        </m:oMath>
      </m:oMathPara>
    </w:p>
    <w:p>
      <w:pPr>
        <w:pStyle w:val="FirstParagraph"/>
      </w:pPr>
      <w:r>
        <w:t xml:space="preserve">Taking constant layer properties and an axially uniform inner boundary condition with</w:t>
      </w:r>
      <w:r>
        <w:t xml:space="preserve"> </w:t>
      </w:r>
      <w:r>
        <w:t xml:space="preserve">insulated ends reduces the two-dimensional field to a one-dimensional radial problem.</w:t>
      </w:r>
    </w:p>
    <w:p>
      <w:pPr>
        <w:pStyle w:val="BodyText"/>
      </w:pPr>
      <w:r>
        <w:t xml:space="preserve">That problem is solved in closed form by a Fourier–Bessel eigenfunction expansion. The</w:t>
      </w:r>
      <w:r>
        <w:t xml:space="preserve"> </w:t>
      </w:r>
      <w:r>
        <w:t xml:space="preserve">time-dependent Dirichlet datum is lifted with the steady profile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ln</m:t>
        </m:r>
        <m:r>
          <m:t>r</m:t>
        </m:r>
      </m:oMath>
      <w:r>
        <w:t xml:space="preserve">,</w:t>
      </w:r>
      <w:r>
        <w:t xml:space="preserve"> </w:t>
      </w:r>
      <w:r>
        <w:t xml:space="preserve">which satisfies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φ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exactly, and each modal amplitude then obeys a damped</w:t>
      </w:r>
      <w:r>
        <w:t xml:space="preserve"> </w:t>
      </w:r>
      <w:r>
        <w:t xml:space="preserve">oscillator equation with exponential forcing that is solved</w:t>
      </w:r>
      <w:r>
        <w:t xml:space="preserve"> </w:t>
      </w:r>
      <w:r>
        <w:rPr>
          <w:b/>
          <w:bCs/>
        </w:rPr>
        <w:t xml:space="preserve">analytically</w:t>
      </w:r>
      <w:r>
        <w:t xml:space="preserve">. There is</w:t>
      </w:r>
      <w:r>
        <w:t xml:space="preserve"> </w:t>
      </w:r>
      <w:r>
        <w:t xml:space="preserve">consequently no time discretization anywhere in the reference and no numerical transform</w:t>
      </w:r>
      <w:r>
        <w:t xml:space="preserve"> </w:t>
      </w:r>
      <w:r>
        <w:t xml:space="preserve">inversion; the only truncation is the number of retained modes.</w:t>
      </w:r>
    </w:p>
    <w:bookmarkEnd w:id="12"/>
    <w:bookmarkStart w:id="13" w:name="verification-of-the-reference-itself"/>
    <w:p>
      <w:pPr>
        <w:pStyle w:val="Heading3"/>
      </w:pPr>
      <w:r>
        <w:t xml:space="preserve">3.2 Verification of the reference itself</w:t>
      </w:r>
    </w:p>
    <w:p>
      <w:pPr>
        <w:pStyle w:val="FirstParagraph"/>
      </w:pPr>
      <w:r>
        <w:t xml:space="preserve">A reference is only useful if it has been checked independently of the code it will be used</w:t>
      </w:r>
      <w:r>
        <w:t xml:space="preserve"> </w:t>
      </w:r>
      <w:r>
        <w:t xml:space="preserve">to judge. Four checks were applied: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Steady-state limit</w:t>
            </w:r>
          </w:p>
        </w:tc>
        <w:tc>
          <w:tcPr/>
          <w:p>
            <w:pPr>
              <w:pStyle w:val="Compact"/>
            </w:pPr>
            <w:r>
              <w:t xml:space="preserve">1.9 × 10⁻¹⁶ of ΔT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hyperbolic causality (field ahead of the front)</w:t>
            </w:r>
          </w:p>
        </w:tc>
        <w:tc>
          <w:tcPr/>
          <w:p>
            <w:pPr>
              <w:pStyle w:val="Compact"/>
            </w:pPr>
            <w:r>
              <w:t xml:space="preserve">4 × 10⁻⁶ of ΔT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Front-jump ratios against the analytic ray law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t>C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0.16 %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Fourier limit</w:t>
            </w:r>
            <w: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 </w:t>
            </w:r>
            <w:r>
              <w:t xml:space="preserve">against an independent Crank–Nicolson solve</w:t>
            </w:r>
          </w:p>
        </w:tc>
        <w:tc>
          <w:tcPr/>
          <w:p>
            <w:pPr>
              <w:pStyle w:val="Compact"/>
            </w:pPr>
            <w:r>
              <w:t xml:space="preserve">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Self-convergence at 400 modes</w:t>
            </w:r>
          </w:p>
        </w:tc>
        <w:tc>
          <w:tcPr/>
          <w:p>
            <w:pPr>
              <w:pStyle w:val="Compact"/>
            </w:pPr>
            <w:r>
              <w:t xml:space="preserve">8 × 10⁻⁴ relative</w:t>
            </w:r>
          </w:p>
        </w:tc>
      </w:tr>
    </w:tbl>
    <w:bookmarkEnd w:id="13"/>
    <w:bookmarkStart w:id="14" w:name="measured-solver-accuracy"/>
    <w:p>
      <w:pPr>
        <w:pStyle w:val="Heading3"/>
      </w:pPr>
      <w:r>
        <w:t xml:space="preserve">3.3 Measured solver accuracy</w:t>
      </w:r>
    </w:p>
    <w:p>
      <w:pPr>
        <w:pStyle w:val="FirstParagraph"/>
      </w:pPr>
      <w:r>
        <w:t xml:space="preserve">Against this reference the layerwise differential quadrature solver attains a maximum</w:t>
      </w:r>
      <w:r>
        <w:t xml:space="preserve"> </w:t>
      </w:r>
      <w:r>
        <w:t xml:space="preserve">pointwise error of 0.32 % of ΔT and an L₂ error of 0.065 % on the finest mesh at the final</w:t>
      </w:r>
      <w:r>
        <w:t xml:space="preserve"> </w:t>
      </w:r>
      <w:r>
        <w:t xml:space="preserve">time, with errors falling monotonically under refinement (L∞ 1.34 % → 0.32 %, L₂ 0.49 % →</w:t>
      </w:r>
      <w:r>
        <w:t xml:space="preserve"> </w:t>
      </w:r>
      <w:r>
        <w:t xml:space="preserve">0.065 % for 49 → 147 radial points). The measured front position tracks the exact front to</w:t>
      </w:r>
      <w:r>
        <w:t xml:space="preserve"> </w:t>
      </w:r>
      <w:r>
        <w:t xml:space="preserve">within one grid spacing at every snapshot. The premise of the comparison is verified in-run:</w:t>
      </w:r>
      <w:r>
        <w:t xml:space="preserve"> </w:t>
      </w:r>
      <w:r>
        <w:t xml:space="preserve">the solver’s two-dimensional field is axially uniform to 3.9 × 10⁻¹¹ of ΔT, confirming that</w:t>
      </w:r>
      <w:r>
        <w:t xml:space="preserve"> </w:t>
      </w:r>
      <w:r>
        <w:t xml:space="preserve">it really did collapse to the one-dimensional problem being compared against.</w:t>
      </w:r>
    </w:p>
    <w:p>
      <w:pPr>
        <w:pStyle w:val="BodyText"/>
      </w:pPr>
      <w:r>
        <w:t xml:space="preserve">A by-product worth stating explicitly: the monotone convergence establishes that the</w:t>
      </w:r>
      <w:r>
        <w:t xml:space="preserve"> </w:t>
      </w:r>
      <w:r>
        <w:t xml:space="preserve">oscillations trailing a sharp second-sound front in spectral discretizations of this problem</w:t>
      </w:r>
      <w:r>
        <w:t xml:space="preserve"> </w:t>
      </w:r>
      <w:r>
        <w:t xml:space="preserve">are a Gibbs artefact, not a physical or numerical instability. This is often asserted; here</w:t>
      </w:r>
      <w:r>
        <w:t xml:space="preserve"> </w:t>
      </w:r>
      <w:r>
        <w:t xml:space="preserve">it is measured.</w:t>
      </w:r>
    </w:p>
    <w:p>
      <w:pPr>
        <w:pStyle w:val="BodyText"/>
      </w:pPr>
      <w:r>
        <w:rPr>
          <w:i/>
          <w:iCs/>
        </w:rPr>
        <w:t xml:space="preserve">[Figure 2: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figures_validation/ls_wave_validation_R1.png</w:t>
      </w:r>
      <w:r>
        <w:rPr>
          <w:i/>
          <w:iCs/>
        </w:rPr>
        <w:t xml:space="preserve">. Table: the mesh-convergence and</w:t>
      </w:r>
      <w:r>
        <w:rPr>
          <w:i/>
          <w:iCs/>
        </w:rPr>
        <w:t xml:space="preserve"> </w:t>
      </w:r>
      <w:r>
        <w:rPr>
          <w:i/>
          <w:iCs/>
        </w:rPr>
        <w:t xml:space="preserve">time-error data, available 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thesis_chapter/ls_wave_mesh_convergence_R1.csv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ls_wave_time_errors_R1.csv</w:t>
      </w:r>
      <w:r>
        <w:rPr>
          <w:i/>
          <w:iCs/>
        </w:rPr>
        <w:t xml:space="preserve">.]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spatial-discretizations-compared"/>
    <w:p>
      <w:pPr>
        <w:pStyle w:val="Heading2"/>
      </w:pPr>
      <w:r>
        <w:t xml:space="preserve">4. Spatial discretizations compared</w:t>
      </w:r>
    </w:p>
    <w:p>
      <w:pPr>
        <w:pStyle w:val="FirstParagraph"/>
      </w:pPr>
      <w:r>
        <w:t xml:space="preserve">Five discretizations are run on the transient-conduction problem with the exact</w:t>
      </w:r>
      <w:r>
        <w:t xml:space="preserve"> </w:t>
      </w:r>
      <w:r>
        <w:t xml:space="preserve">Bessel-series solution, using an identical Newmark march so that the temporal error is</w:t>
      </w:r>
      <w:r>
        <w:t xml:space="preserve"> </w:t>
      </w:r>
      <w:r>
        <w:t xml:space="preserve">common to all of them.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nodes to reach the temporal floor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quadrature, Chebyshev grid</w:t>
            </w:r>
          </w:p>
        </w:tc>
        <w:tc>
          <w:tcPr/>
          <w:p>
            <w:pPr>
              <w:pStyle w:val="Compact"/>
            </w:pPr>
            <w:r>
              <w:t xml:space="preserve">≈ 9–11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quadrature, uniform grid</w:t>
            </w:r>
          </w:p>
        </w:tc>
        <w:tc>
          <w:tcPr/>
          <w:p>
            <w:pPr>
              <w:pStyle w:val="Compact"/>
            </w:pPr>
            <w:r>
              <w:t xml:space="preserve">≈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Finite elements, quadratic (3-node)</w:t>
            </w:r>
          </w:p>
        </w:tc>
        <w:tc>
          <w:tcPr/>
          <w:p>
            <w:pPr>
              <w:pStyle w:val="Compact"/>
            </w:pPr>
            <w:r>
              <w:t xml:space="preserve">≈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Finite elements, linear (2-node)</w:t>
            </w:r>
          </w:p>
        </w:tc>
        <w:tc>
          <w:tcPr/>
          <w:p>
            <w:pPr>
              <w:pStyle w:val="Compact"/>
            </w:pPr>
            <w:r>
              <w:t xml:space="preserve">≈ 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Finite differences, second order</w:t>
            </w:r>
          </w:p>
        </w:tc>
        <w:tc>
          <w:tcPr/>
          <w:p>
            <w:pPr>
              <w:pStyle w:val="Compact"/>
            </w:pPr>
            <w:r>
              <w:t xml:space="preserve">≈ 161</w:t>
            </w:r>
          </w:p>
        </w:tc>
      </w:tr>
    </w:tbl>
    <w:p>
      <w:pPr>
        <w:pStyle w:val="BodyText"/>
      </w:pPr>
      <w:r>
        <w:t xml:space="preserve">The linear-FEM and FDM curves lie on the slope −2 reference line, confirming second-order</w:t>
      </w:r>
      <w:r>
        <w:t xml:space="preserve"> </w:t>
      </w:r>
      <w:r>
        <w:t xml:space="preserve">convergence; quadratic FEM gains roughly one order of magnitude per refinement step; the</w:t>
      </w:r>
      <w:r>
        <w:t xml:space="preserve"> </w:t>
      </w:r>
      <w:r>
        <w:t xml:space="preserve">differential quadrature error falls quasi-exponentially until it meets the temporal floor.</w:t>
      </w:r>
      <w:r>
        <w:t xml:space="preserve"> </w:t>
      </w:r>
      <w:r>
        <w:t xml:space="preserve">At equal accuracy the DQM system is therefore about fifteen times smaller per direction, and</w:t>
      </w:r>
      <w:r>
        <w:t xml:space="preserve"> </w:t>
      </w:r>
      <w:r>
        <w:t xml:space="preserve">that ratio is squared in 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plane — the quantitative justification for the</w:t>
      </w:r>
      <w:r>
        <w:t xml:space="preserve"> </w:t>
      </w:r>
      <w:r>
        <w:t xml:space="preserve">layerwise DQM choice, and consistent with the mesh study in which a handful of radial points</w:t>
      </w:r>
      <w:r>
        <w:t xml:space="preserve"> </w:t>
      </w:r>
      <w:r>
        <w:t xml:space="preserve">already delivered three-digit accuracy.</w:t>
      </w:r>
    </w:p>
    <w:p>
      <w:pPr>
        <w:pStyle w:val="BodyText"/>
      </w:pPr>
      <w:r>
        <w:t xml:space="preserve">The finite-element comparison uses a standard Bubnov–Galerkin weighted-residual formulation</w:t>
      </w:r>
      <w:r>
        <w:t xml:space="preserve"> </w:t>
      </w:r>
      <w:r>
        <w:t xml:space="preserve">with the cylindrical weight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 the weak form, C⁰ Lagrange elements, consistent</w:t>
      </w:r>
      <w:r>
        <w:t xml:space="preserve"> </w:t>
      </w:r>
      <w:r>
        <w:t xml:space="preserve">capacitance matrices, natural Robin boundary conditions and essential Dirichlet conditions.</w:t>
      </w:r>
      <w:r>
        <w:t xml:space="preserve"> </w:t>
      </w:r>
      <w:r>
        <w:t xml:space="preserve">Because the transient conduction operator is self-adjoint — there is no convection term —</w:t>
      </w:r>
      <w:r>
        <w:t xml:space="preserve"> </w:t>
      </w:r>
      <w:r>
        <w:t xml:space="preserve">Bubnov–Galerkin is optimal in the best-approximation sense and no Petrov–Galerkin upwinding</w:t>
      </w:r>
      <w:r>
        <w:t xml:space="preserve"> </w:t>
      </w:r>
      <w:r>
        <w:t xml:space="preserve">is required; this is worth stating because referees in this area routinely ask.</w:t>
      </w:r>
    </w:p>
    <w:bookmarkStart w:id="16" w:name="X323fbf9d6e554cb53585f3948c38a6975f0c30d"/>
    <w:p>
      <w:pPr>
        <w:pStyle w:val="Heading3"/>
      </w:pPr>
      <w:r>
        <w:t xml:space="preserve">4.1 Differential quadrature has a window, not a curve</w:t>
      </w:r>
    </w:p>
    <w:p>
      <w:pPr>
        <w:pStyle w:val="FirstParagraph"/>
      </w:pPr>
      <w:r>
        <w:t xml:space="preserve">The most practically useful finding of this section is a negative one. The DQM error does</w:t>
      </w:r>
      <w:r>
        <w:t xml:space="preserve"> </w:t>
      </w:r>
      <w:r>
        <w:t xml:space="preserve">not keep falling. On the Chebyshev grid it flattens after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11</m:t>
        </m:r>
      </m:oMath>
      <w:r>
        <w:t xml:space="preserve">, drifts slightly</w:t>
      </w:r>
      <w:r>
        <w:t xml:space="preserve"> </w:t>
      </w:r>
      <w:r>
        <w:t xml:space="preserve">upward through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21</m:t>
        </m:r>
      </m:oMath>
      <w:r>
        <w:t xml:space="preserve">–121, and the solution then fails outright at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161</m:t>
        </m:r>
      </m:oMath>
      <w:r>
        <w:t xml:space="preserve">.</w:t>
      </w:r>
      <w:r>
        <w:t xml:space="preserve"> </w:t>
      </w:r>
      <w:r>
        <w:t xml:space="preserve">On the uniform grid the degradation is violent: the error is competitive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–31 and then diverges by tens of orders of magnitude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.</w:t>
      </w:r>
    </w:p>
    <w:p>
      <w:pPr>
        <w:pStyle w:val="BodyText"/>
      </w:pPr>
      <w:r>
        <w:t xml:space="preserve">The mechanism is the well-known ill-conditioning of the differential quadrature weighting</w:t>
      </w:r>
      <w:r>
        <w:t xml:space="preserve"> </w:t>
      </w:r>
      <w:r>
        <w:t xml:space="preserve">matrices, whose condition number grows rapidly with the number of nodes; on a uniform grid</w:t>
      </w:r>
      <w:r>
        <w:t xml:space="preserve"> </w:t>
      </w:r>
      <w:r>
        <w:t xml:space="preserve">it grows faster still. The practical consequence is that DQM must be used inside a window</w:t>
      </w:r>
      <w:r>
        <w:t xml:space="preserve"> </w:t>
      </w:r>
      <w:r>
        <w:t xml:space="preserve">whose upper edge should be located before production runs, and that the usual habit of</w:t>
      </w:r>
      <w:r>
        <w:t xml:space="preserve"> </w:t>
      </w:r>
      <w:r>
        <w:t xml:space="preserve">“refine until the answer stops changing”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unsafe</w:t>
      </w:r>
      <w:r>
        <w:t xml:space="preserve"> </w:t>
      </w:r>
      <w:r>
        <w:t xml:space="preserve">here — refinement past the window</w:t>
      </w:r>
      <w:r>
        <w:t xml:space="preserve"> </w:t>
      </w:r>
      <w:r>
        <w:t xml:space="preserve">degrades the answer silently before it fails loudly. Since the method’s whole advantage is</w:t>
      </w:r>
      <w:r>
        <w:t xml:space="preserve"> </w:t>
      </w:r>
      <w:r>
        <w:t xml:space="preserve">that it needs few nodes, this is not a serious restriction, but it does need to be stated.</w:t>
      </w:r>
    </w:p>
    <w:p>
      <w:pPr>
        <w:pStyle w:val="BodyText"/>
      </w:pPr>
      <w:r>
        <w:rPr>
          <w:i/>
          <w:iCs/>
        </w:rPr>
        <w:t xml:space="preserve">[Figure 3: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results_extensions/figures/spatial_convergence</w:t>
      </w:r>
      <w:r>
        <w:rPr>
          <w:i/>
          <w:iCs/>
        </w:rPr>
        <w:t xml:space="preserve"> </w:t>
      </w:r>
      <w:r>
        <w:rPr>
          <w:i/>
          <w:iCs/>
        </w:rPr>
        <w:t xml:space="preserve">— log-log error against N for</w:t>
      </w:r>
      <w:r>
        <w:rPr>
          <w:i/>
          <w:iCs/>
        </w:rPr>
        <w:t xml:space="preserve"> </w:t>
      </w:r>
      <w:r>
        <w:rPr>
          <w:i/>
          <w:iCs/>
        </w:rPr>
        <w:t xml:space="preserve">all five methods with the slope −2 reference line.]</w:t>
      </w:r>
    </w:p>
    <w:bookmarkEnd w:id="16"/>
    <w:bookmarkStart w:id="17" w:name="the-binding-direction"/>
    <w:p>
      <w:pPr>
        <w:pStyle w:val="Heading3"/>
      </w:pPr>
      <w:r>
        <w:t xml:space="preserve">4.2 The binding direction</w:t>
      </w:r>
    </w:p>
    <w:p>
      <w:pPr>
        <w:pStyle w:val="FirstParagraph"/>
      </w:pPr>
      <w:r>
        <w:t xml:space="preserve">A companion study varying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independently about a fixed anchor shows</w:t>
      </w:r>
      <w:r>
        <w:t xml:space="preserve"> </w:t>
      </w:r>
      <w:r>
        <w:t xml:space="preserve">that the</w:t>
      </w:r>
      <w:r>
        <w:t xml:space="preserve"> </w:t>
      </w:r>
      <w:r>
        <w:rPr>
          <w:b/>
          <w:bCs/>
        </w:rPr>
        <w:t xml:space="preserve">axial</w:t>
      </w:r>
      <w:r>
        <w:t xml:space="preserve"> </w:t>
      </w:r>
      <w:r>
        <w:t xml:space="preserve">direction is the binding one:</w:t>
      </w:r>
      <w: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still carries a 9.4 % error in</w:t>
      </w:r>
      <w:r>
        <w:t xml:space="preserve"> </w:t>
      </w:r>
      <w:r>
        <w:t xml:space="preserve">the hoop-stress profile, crossing below 1 % only by</w:t>
      </w:r>
      <w: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–9, while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already within a few tenths of a percent at their coarsest tested values. Effort in this</w:t>
      </w:r>
      <w:r>
        <w:t xml:space="preserve"> </w:t>
      </w:r>
      <w:r>
        <w:t xml:space="preserve">class of problem is conventionally spent on radial refinement; this result says it is</w:t>
      </w:r>
      <w:r>
        <w:t xml:space="preserve"> </w:t>
      </w:r>
      <w:r>
        <w:t xml:space="preserve">better spent axially.</w:t>
      </w:r>
    </w:p>
    <w:bookmarkEnd w:id="17"/>
    <w:bookmarkStart w:id="18" w:name="a-caution-on-end-conditions"/>
    <w:p>
      <w:pPr>
        <w:pStyle w:val="Heading3"/>
      </w:pPr>
      <w:r>
        <w:t xml:space="preserve">4.3 A caution on end conditions</w:t>
      </w:r>
    </w:p>
    <w:p>
      <w:pPr>
        <w:pStyle w:val="FirstParagraph"/>
      </w:pPr>
      <w:r>
        <w:t xml:space="preserve">Not all mechanically admissible end conditions are numerically admissible in this</w:t>
      </w:r>
      <w:r>
        <w:t xml:space="preserve"> </w:t>
      </w:r>
      <w:r>
        <w:t xml:space="preserve">discretization. With simply supported or clamped ends the solution is stable. With free or</w:t>
      </w:r>
      <w:r>
        <w:t xml:space="preserve"> </w:t>
      </w:r>
      <w:r>
        <w:t xml:space="preserve">roller ends it diverges — isolation tests confirm the cause is spurious mechanical end modes</w:t>
      </w:r>
      <w:r>
        <w:t xml:space="preserve"> </w:t>
      </w:r>
      <w:r>
        <w:t xml:space="preserve">arising from the absence of kinematic anchoring of the displacement field at the axial</w:t>
      </w:r>
      <w:r>
        <w:t xml:space="preserve"> </w:t>
      </w:r>
      <w:r>
        <w:t xml:space="preserve">boundaries, and that the divergence is independent of the Newmark parameters and of the</w:t>
      </w:r>
      <w:r>
        <w:t xml:space="preserve"> </w:t>
      </w:r>
      <w:r>
        <w:t xml:space="preserve">thermomechanical coupling. The practical rule is that the</w:t>
      </w:r>
      <w:r>
        <w:t xml:space="preserve"> </w:t>
      </w:r>
      <m:oMath>
        <m:r>
          <m:t>u</m:t>
        </m:r>
      </m:oMath>
      <w:r>
        <w:t xml:space="preserve">-field requires kinematic</w:t>
      </w:r>
      <w:r>
        <w:t xml:space="preserve"> </w:t>
      </w:r>
      <w:r>
        <w:t xml:space="preserve">anchoring at the axial ends in a layerwise DQM formulation of this problem; one-dimensional</w:t>
      </w:r>
      <w:r>
        <w:t xml:space="preserve"> </w:t>
      </w:r>
      <w:r>
        <w:t xml:space="preserve">radial problems avoid the issue entirely.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time-integrators-compared"/>
    <w:p>
      <w:pPr>
        <w:pStyle w:val="Heading2"/>
      </w:pPr>
      <w:r>
        <w:t xml:space="preserve">5. Time integrators compared</w:t>
      </w:r>
    </w:p>
    <w:p>
      <w:pPr>
        <w:pStyle w:val="FirstParagraph"/>
      </w:pPr>
      <w:r>
        <w:t xml:space="preserve">Six schemes on the identical spatial system, measured against the exact solution.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max error (K)</w:t>
            </w:r>
          </w:p>
        </w:tc>
        <w:tc>
          <w:tcPr/>
          <w:p>
            <w:pPr>
              <w:pStyle w:val="Compact"/>
            </w:pPr>
            <w:r>
              <w:t xml:space="preserve">CPU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Newmark (δ = ½, β = ¼)</w:t>
            </w:r>
          </w:p>
        </w:tc>
        <w:tc>
          <w:tcPr/>
          <w:p>
            <w:pPr>
              <w:pStyle w:val="Compact"/>
            </w:pPr>
            <w:r>
              <w:t xml:space="preserve">0.0032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Wilson-θ (θ = 1.4)</w:t>
            </w:r>
          </w:p>
        </w:tc>
        <w:tc>
          <w:tcPr/>
          <w:p>
            <w:pPr>
              <w:pStyle w:val="Compact"/>
            </w:pPr>
            <w:r>
              <w:t xml:space="preserve">0.0164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Houbolt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HHT-α (α = −0.1)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Adaptive stiff solver (NDF/BDF)</w:t>
            </w:r>
          </w:p>
        </w:tc>
        <w:tc>
          <w:tcPr/>
          <w:p>
            <w:pPr>
              <w:pStyle w:val="Compact"/>
            </w:pPr>
            <w:r>
              <w:t xml:space="preserve">0.00026</w:t>
            </w:r>
          </w:p>
        </w:tc>
        <w:tc>
          <w:tcPr/>
          <w:p>
            <w:pPr>
              <w:pStyle w:val="Compac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Laplace–Durbin (thermal subsystem only)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</w:tr>
    </w:tbl>
    <w:p>
      <w:pPr>
        <w:pStyle w:val="BodyText"/>
      </w:pPr>
      <w:r>
        <w:t xml:space="preserve">Newmark, Houbolt and HHT-α are of practically equal accuracy at equal step. Wilson-θ is the</w:t>
      </w:r>
      <w:r>
        <w:t xml:space="preserve"> </w:t>
      </w:r>
      <w:r>
        <w:t xml:space="preserve">cheapest but accepts a roughly five-fold error for its additional numerical dissipation. The</w:t>
      </w:r>
      <w:r>
        <w:t xml:space="preserve"> </w:t>
      </w:r>
      <w:r>
        <w:t xml:space="preserve">adaptive stiff solver is an order of magnitude more accurate but roughly eight times more</w:t>
      </w:r>
      <w:r>
        <w:t xml:space="preserve"> </w:t>
      </w:r>
      <w:r>
        <w:t xml:space="preserve">expensive, and it is worth noting what it required: because the semi-discrete system is a</w:t>
      </w:r>
      <w:r>
        <w:t xml:space="preserve"> </w:t>
      </w:r>
      <w:r>
        <w:t xml:space="preserve">differential-algebraic one, the constraint rows had to be eliminated by static condensation</w:t>
      </w:r>
      <w:r>
        <w:t xml:space="preserve"> </w:t>
      </w:r>
      <w:r>
        <w:t xml:space="preserve">and the remaining second-order system recast in first-order state-space form before the</w:t>
      </w:r>
      <w:r>
        <w:t xml:space="preserve"> </w:t>
      </w:r>
      <w:r>
        <w:t xml:space="preserve">solver could be applied at all, with an analytic Jacobian supplied to keep the cost down.</w:t>
      </w:r>
      <w:r>
        <w:t xml:space="preserve"> </w:t>
      </w:r>
      <w:r>
        <w:t xml:space="preserve">The default formula in that solver is the modified NDF family rather than classical BDF,</w:t>
      </w:r>
      <w:r>
        <w:t xml:space="preserve"> </w:t>
      </w:r>
      <w:r>
        <w:t xml:space="preserve">which is worth stating precisely since the distinction is routinely blurred in the applied</w:t>
      </w:r>
      <w:r>
        <w:t xml:space="preserve"> </w:t>
      </w:r>
      <w:r>
        <w:t xml:space="preserve">literature.</w:t>
      </w:r>
    </w:p>
    <w:p>
      <w:pPr>
        <w:pStyle w:val="BodyText"/>
      </w:pPr>
      <w:r>
        <w:t xml:space="preserve">Newmark’s combination of accuracy, cost and implementation simplicity justifies it as the</w:t>
      </w:r>
      <w:r>
        <w:t xml:space="preserve"> </w:t>
      </w:r>
      <w:r>
        <w:t xml:space="preserve">production choice — a conclusion that is unsurprising but that, as far as the authors are</w:t>
      </w:r>
      <w:r>
        <w:t xml:space="preserve"> </w:t>
      </w:r>
      <w:r>
        <w:t xml:space="preserve">aware, has not previously been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for this class of problem.</w:t>
      </w:r>
    </w:p>
    <w:p>
      <w:r>
        <w:pict>
          <v:rect style="width:0;height:1.5pt" o:hralign="center" o:hrstd="t" o:hr="t"/>
        </w:pict>
      </w:r>
    </w:p>
    <w:bookmarkEnd w:id="20"/>
    <w:bookmarkStart w:id="21" w:name="X243db0b72b65b7327972481eaa3b4e6cb5c59be"/>
    <w:p>
      <w:pPr>
        <w:pStyle w:val="Heading2"/>
      </w:pPr>
      <w:r>
        <w:t xml:space="preserve">6. Why the Laplace route fails on the coupled system</w:t>
      </w:r>
    </w:p>
    <w:p>
      <w:pPr>
        <w:pStyle w:val="FirstParagraph"/>
      </w:pPr>
      <w:r>
        <w:t xml:space="preserve">The Laplace-transform method with numerical inversion is the slowest entry in the table, but</w:t>
      </w:r>
      <w:r>
        <w:t xml:space="preserve"> </w:t>
      </w:r>
      <w:r>
        <w:t xml:space="preserve">its real interest is that its failure is structural rather than one of efficiency.</w:t>
      </w:r>
    </w:p>
    <w:p>
      <w:pPr>
        <w:pStyle w:val="BodyText"/>
      </w:pPr>
      <w:r>
        <w:rPr>
          <w:b/>
          <w:bCs/>
        </w:rPr>
        <w:t xml:space="preserve">The obstruction.</w:t>
      </w:r>
      <w:r>
        <w:t xml:space="preserve"> </w:t>
      </w:r>
      <w:r>
        <w:t xml:space="preserve">Numerical inversion evaluates the transformed solution along a contour</w:t>
      </w:r>
      <w:r>
        <w:t xml:space="preserve"> </w:t>
      </w:r>
      <w:r>
        <w:t xml:space="preserve">in the complex plane. For the thermal subsystem alone the conduction poles lie on the</w:t>
      </w:r>
      <w:r>
        <w:t xml:space="preserve"> </w:t>
      </w:r>
      <w:r>
        <w:t xml:space="preserve">negative real axis, comfortably away from any sensible contour, and the inversion is</w:t>
      </w:r>
      <w:r>
        <w:t xml:space="preserve"> </w:t>
      </w:r>
      <w:r>
        <w:t xml:space="preserve">well behaved — merely expensive. For the</w:t>
      </w:r>
      <w:r>
        <w:t xml:space="preserve"> </w:t>
      </w:r>
      <w:r>
        <w:rPr>
          <w:i/>
          <w:iCs/>
        </w:rPr>
        <w:t xml:space="preserve">fully coupled</w:t>
      </w:r>
      <w:r>
        <w:t xml:space="preserve"> </w:t>
      </w:r>
      <w:r>
        <w:t xml:space="preserve">system the operator additionally</w:t>
      </w:r>
      <w:r>
        <w:t xml:space="preserve"> </w:t>
      </w:r>
      <w:r>
        <w:t xml:space="preserve">carries the elastic poles, and those are undamped: they lie on the imaginary axis, which is</w:t>
      </w:r>
      <w:r>
        <w:t xml:space="preserve"> </w:t>
      </w:r>
      <w:r>
        <w:t xml:space="preserve">exactly where the Durbin contour samples. Every contour evaluation is then a near-singular</w:t>
      </w:r>
      <w:r>
        <w:t xml:space="preserve"> </w:t>
      </w:r>
      <w:r>
        <w:t xml:space="preserve">solve, and the alternating sum that reconstructs the time-domain solution is poisoned by the</w:t>
      </w:r>
      <w:r>
        <w:t xml:space="preserve"> </w:t>
      </w:r>
      <w:r>
        <w:t xml:space="preserve">resulting cancellation. No refinement of the inversion parameters repairs this, because the</w:t>
      </w:r>
      <w:r>
        <w:t xml:space="preserve"> </w:t>
      </w:r>
      <w:r>
        <w:t xml:space="preserve">difficulty is in the location of the spectrum, not in the quadrature.</w:t>
      </w:r>
    </w:p>
    <w:p>
      <w:pPr>
        <w:pStyle w:val="BodyText"/>
      </w:pPr>
      <w:r>
        <w:t xml:space="preserve">This provides the explanation, usually left implicit, for why transform methods in the</w:t>
      </w:r>
      <w:r>
        <w:t xml:space="preserve"> </w:t>
      </w:r>
      <w:r>
        <w:t xml:space="preserve">generalized-thermoelasticity literature are applied to thermal subproblems and not to fully</w:t>
      </w:r>
      <w:r>
        <w:t xml:space="preserve"> </w:t>
      </w:r>
      <w:r>
        <w:t xml:space="preserve">coupled ones.</w:t>
      </w:r>
    </w:p>
    <w:p>
      <w:pPr>
        <w:pStyle w:val="BodyText"/>
      </w:pPr>
      <w:r>
        <w:rPr>
          <w:b/>
          <w:bCs/>
        </w:rPr>
        <w:t xml:space="preserve">Two measured failures support the diagnosis.</w:t>
      </w:r>
      <w:r>
        <w:t xml:space="preserve"> </w:t>
      </w:r>
      <w:r>
        <w:t xml:space="preserve">A fixed-Talbot inversion applied to the</w:t>
      </w:r>
      <w:r>
        <w:t xml:space="preserve"> </w:t>
      </w:r>
      <w:r>
        <w:t xml:space="preserve">wave problem produced errors that</w:t>
      </w:r>
      <w:r>
        <w:t xml:space="preserve"> </w:t>
      </w:r>
      <w:r>
        <w:rPr>
          <w:i/>
          <w:iCs/>
        </w:rPr>
        <w:t xml:space="preserve">grew</w:t>
      </w:r>
      <w:r>
        <w:t xml:space="preserve"> </w:t>
      </w:r>
      <w:r>
        <w:t xml:space="preserve">with the number of nodes — 3.2 × 10¹, 8.6 × 10²,</w:t>
      </w:r>
      <w:r>
        <w:t xml:space="preserve"> </w:t>
      </w:r>
      <w:r>
        <w:t xml:space="preserve">4.2 × 10⁸ K — because the transformed field behaves as a pure delay,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Δ</m:t>
            </m:r>
            <m:r>
              <m:t>r</m:t>
            </m:r>
            <m:r>
              <m:rPr>
                <m:sty m:val="p"/>
              </m:rPr>
              <m:t>/</m:t>
            </m:r>
            <m:r>
              <m:t>C</m:t>
            </m:r>
          </m:sup>
        </m:sSup>
        <m:r>
          <m:rPr>
            <m:sty m:val="p"/>
          </m:rPr>
          <m:t>/</m:t>
        </m:r>
        <m:r>
          <m:t>s</m:t>
        </m:r>
      </m:oMath>
      <w:r>
        <w:t xml:space="preserve">,</w:t>
      </w:r>
      <w:r>
        <w:t xml:space="preserve"> </w:t>
      </w:r>
      <w:r>
        <w:t xml:space="preserve">and Talbot’s node radius grows as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r>
              <m:t>M</m:t>
            </m:r>
            <m:r>
              <m:rPr>
                <m:sty m:val="p"/>
              </m:rPr>
              <m:t>/</m:t>
            </m:r>
            <m:r>
              <m:t>5</m:t>
            </m:r>
          </m:sup>
        </m:sSup>
      </m:oMath>
      <w:r>
        <w:t xml:space="preserve">, amplifying exactly the cancellation that a</w:t>
      </w:r>
      <w:r>
        <w:t xml:space="preserve"> </w:t>
      </w:r>
      <w:r>
        <w:t xml:space="preserve">pure delay produces. This is why the modal route of §3 was needed for the benchmark.</w:t>
      </w:r>
    </w:p>
    <w:p>
      <w:pPr>
        <w:pStyle w:val="BodyText"/>
      </w:pPr>
      <w:r>
        <w:rPr>
          <w:b/>
          <w:bCs/>
        </w:rPr>
        <w:t xml:space="preserve">An arithmetic caution worth recording.</w:t>
      </w:r>
      <w:r>
        <w:t xml:space="preserve"> </w:t>
      </w:r>
      <w:r>
        <w:t xml:space="preserve">In implementing the Durbin inversion, the</w:t>
      </w:r>
      <w:r>
        <w:t xml:space="preserve"> </w:t>
      </w:r>
      <w:r>
        <w:t xml:space="preserve">half-period node spacing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i</m:t>
        </m:r>
        <m:r>
          <m:t>k</m:t>
        </m:r>
        <m:r>
          <m:t>π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e</m:t>
            </m:r>
            <m:r>
              <m:t>n</m:t>
            </m:r>
            <m:r>
              <m:t>d</m:t>
            </m:r>
          </m:sub>
        </m:sSub>
      </m:oMath>
      <w:r>
        <w:t xml:space="preserve"> </w:t>
      </w:r>
      <w:r>
        <w:t xml:space="preserve">and prefactor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a</m:t>
            </m:r>
            <m:r>
              <m:t>t</m:t>
            </m:r>
          </m:sup>
        </m:sSup>
        <m:d>
          <m:dPr>
            <m:begChr m:val="["/>
            <m:sepChr m:val=""/>
            <m:endChr m:val="]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∑</m:t>
            </m:r>
          </m:e>
        </m:d>
      </m:oMath>
      <w:r>
        <w:t xml:space="preserve">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T</m:t>
        </m:r>
        <m:r>
          <m:rPr>
            <m:sty m:val="p"/>
          </m:rPr>
          <m:t>)</m:t>
        </m:r>
      </m:oMath>
      <w:r>
        <w:t xml:space="preserve">, is required. Using</w:t>
      </w:r>
      <w:r>
        <w:t xml:space="preserve"> </w:t>
      </w:r>
      <w:r>
        <w:t xml:space="preserve">full-period spacing instead yields a result that is uniformly and exactly twice the correct</w:t>
      </w:r>
      <w:r>
        <w:t xml:space="preserve"> </w:t>
      </w:r>
      <w:r>
        <w:t xml:space="preserve">one — a discrepancy that is easy to mistake for a modelling error and that was isolated here</w:t>
      </w:r>
      <w:r>
        <w:t xml:space="preserve"> </w:t>
      </w:r>
      <w:r>
        <w:t xml:space="preserve">by testing against an analytically invertible transform. Early times shorter than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e</m:t>
            </m:r>
            <m:r>
              <m:t>r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unresolvable in any case.</w:t>
      </w:r>
    </w:p>
    <w:p>
      <w:r>
        <w:pict>
          <v:rect style="width:0;height:1.5pt" o:hralign="center" o:hrstd="t" o:hr="t"/>
        </w:pict>
      </w:r>
    </w:p>
    <w:bookmarkEnd w:id="21"/>
    <w:bookmarkStart w:id="22" w:name="conclusions"/>
    <w:p>
      <w:pPr>
        <w:pStyle w:val="Heading2"/>
      </w:pPr>
      <w:r>
        <w:t xml:space="preserve">7. Conclusions</w:t>
      </w:r>
    </w:p>
    <w:p>
      <w:pPr>
        <w:pStyle w:val="Compact"/>
        <w:numPr>
          <w:ilvl w:val="0"/>
          <w:numId w:val="1002"/>
        </w:numPr>
      </w:pPr>
      <w:r>
        <w:t xml:space="preserve">Differential quadrature reaches the temporal error floor at roughly 9–11 nodes per</w:t>
      </w:r>
      <w:r>
        <w:t xml:space="preserve"> </w:t>
      </w:r>
      <w:r>
        <w:t xml:space="preserve">direction against approximately 161 for linear finite elements and second-order finite</w:t>
      </w:r>
      <w:r>
        <w:t xml:space="preserve"> </w:t>
      </w:r>
      <w:r>
        <w:t xml:space="preserve">differences and 21 for quadratic finite elements — about fifteen times fewer per</w:t>
      </w:r>
      <w:r>
        <w:t xml:space="preserve"> </w:t>
      </w:r>
      <w:r>
        <w:t xml:space="preserve">direction, squared in the plane.</w:t>
      </w:r>
    </w:p>
    <w:p>
      <w:pPr>
        <w:pStyle w:val="Compact"/>
        <w:numPr>
          <w:ilvl w:val="0"/>
          <w:numId w:val="1002"/>
        </w:numPr>
      </w:pPr>
      <w:r>
        <w:t xml:space="preserve">Differential quadrature has a usable window rather than a monotone convergence curve:</w:t>
      </w:r>
      <w:r>
        <w:t xml:space="preserve"> </w:t>
      </w:r>
      <w:r>
        <w:t xml:space="preserve">beyond it the error degrades and then the solution fails, catastrophically on a uniform</w:t>
      </w:r>
      <w:r>
        <w:t xml:space="preserve"> </w:t>
      </w:r>
      <w:r>
        <w:t xml:space="preserve">grid. Refining until the answer stops changing is not a safe procedure here.</w:t>
      </w:r>
    </w:p>
    <w:p>
      <w:pPr>
        <w:pStyle w:val="Compact"/>
        <w:numPr>
          <w:ilvl w:val="0"/>
          <w:numId w:val="1002"/>
        </w:numPr>
      </w:pPr>
      <w:r>
        <w:t xml:space="preserve">The axial direction is the binding one for mesh convergence in this geometry, contrary to</w:t>
      </w:r>
      <w:r>
        <w:t xml:space="preserve"> </w:t>
      </w:r>
      <w:r>
        <w:t xml:space="preserve">where refinement effort is usually directed.</w:t>
      </w:r>
    </w:p>
    <w:p>
      <w:pPr>
        <w:pStyle w:val="Compact"/>
        <w:numPr>
          <w:ilvl w:val="0"/>
          <w:numId w:val="1002"/>
        </w:numPr>
      </w:pPr>
      <w:r>
        <w:t xml:space="preserve">Free and roller end conditions excite spurious mechanical end modes in this formulation;</w:t>
      </w:r>
      <w:r>
        <w:t xml:space="preserve"> </w:t>
      </w:r>
      <w:r>
        <w:t xml:space="preserve">the displacement field requires kinematic anchoring at the axial ends.</w:t>
      </w:r>
    </w:p>
    <w:p>
      <w:pPr>
        <w:pStyle w:val="Compact"/>
        <w:numPr>
          <w:ilvl w:val="0"/>
          <w:numId w:val="1002"/>
        </w:numPr>
      </w:pPr>
      <w:r>
        <w:t xml:space="preserve">Newmark, Houbolt and HHT-α are of equal accuracy at equal step; Wilson-θ trades a</w:t>
      </w:r>
      <w:r>
        <w:t xml:space="preserve"> </w:t>
      </w:r>
      <w:r>
        <w:t xml:space="preserve">five-fold error for its dissipation; adaptive NDF/BDF integration gains a decimal digit</w:t>
      </w:r>
      <w:r>
        <w:t xml:space="preserve"> </w:t>
      </w:r>
      <w:r>
        <w:t xml:space="preserve">at eight times the cost and requires condensation to a first-order form first.</w:t>
      </w:r>
    </w:p>
    <w:p>
      <w:pPr>
        <w:pStyle w:val="Compact"/>
        <w:numPr>
          <w:ilvl w:val="0"/>
          <w:numId w:val="1002"/>
        </w:numPr>
      </w:pPr>
      <w:r>
        <w:t xml:space="preserve">The Laplace route fails structurally on the fully coupled operator because the undamped</w:t>
      </w:r>
      <w:r>
        <w:t xml:space="preserve"> </w:t>
      </w:r>
      <w:r>
        <w:t xml:space="preserve">elastic poles lie on the inversion contour — the reason transform methods in this field</w:t>
      </w:r>
      <w:r>
        <w:t xml:space="preserve"> </w:t>
      </w:r>
      <w:r>
        <w:t xml:space="preserve">are confined to thermal subsystems.</w:t>
      </w:r>
    </w:p>
    <w:p>
      <w:pPr>
        <w:pStyle w:val="Compact"/>
        <w:numPr>
          <w:ilvl w:val="0"/>
          <w:numId w:val="1002"/>
        </w:numPr>
      </w:pPr>
      <w:r>
        <w:t xml:space="preserve">An exact Fourier–Bessel benchmark for the Lord–Shulman wave in a hollow cylinder is</w:t>
      </w:r>
      <w:r>
        <w:t xml:space="preserve"> </w:t>
      </w:r>
      <w:r>
        <w:t xml:space="preserve">provided and independently verified, and is offered as a reusable reference for</w:t>
      </w:r>
      <w:r>
        <w:t xml:space="preserve"> </w:t>
      </w:r>
      <w:r>
        <w:t xml:space="preserve">second-sound codes.</w:t>
      </w:r>
    </w:p>
    <w:p>
      <w:r>
        <w:pict>
          <v:rect style="width:0;height:1.5pt" o:hralign="center" o:hrstd="t" o:hr="t"/>
        </w:pict>
      </w:r>
    </w:p>
    <w:bookmarkEnd w:id="22"/>
    <w:bookmarkStart w:id="2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Bellman R, Casti J. Differential quadrature and long-term integration.</w:t>
      </w:r>
      <w:r>
        <w:t xml:space="preserve"> </w:t>
      </w:r>
      <w:r>
        <w:rPr>
          <w:i/>
          <w:iCs/>
        </w:rPr>
        <w:t xml:space="preserve">J Math Anal Appl</w:t>
      </w:r>
      <w:r>
        <w:t xml:space="preserve"> </w:t>
      </w:r>
      <w:r>
        <w:t xml:space="preserve">1971;34(2):235–8.</w:t>
      </w:r>
    </w:p>
    <w:p>
      <w:pPr>
        <w:pStyle w:val="Compact"/>
        <w:numPr>
          <w:ilvl w:val="0"/>
          <w:numId w:val="1003"/>
        </w:numPr>
      </w:pPr>
      <w:r>
        <w:t xml:space="preserve">Shu C.</w:t>
      </w:r>
      <w:r>
        <w:t xml:space="preserve"> </w:t>
      </w:r>
      <w:r>
        <w:rPr>
          <w:i/>
          <w:iCs/>
        </w:rPr>
        <w:t xml:space="preserve">Differential Quadrature and Its Application in Engineering</w:t>
      </w:r>
      <w:r>
        <w:t xml:space="preserve">. Springer; 2000.</w:t>
      </w:r>
    </w:p>
    <w:p>
      <w:pPr>
        <w:pStyle w:val="Compact"/>
        <w:numPr>
          <w:ilvl w:val="0"/>
          <w:numId w:val="1003"/>
        </w:numPr>
      </w:pPr>
      <w:r>
        <w:t xml:space="preserve">Bert CW, Malik M. Differential quadrature method in computational mechanics: a review.</w:t>
      </w:r>
      <w:r>
        <w:t xml:space="preserve"> </w:t>
      </w:r>
      <w:r>
        <w:rPr>
          <w:i/>
          <w:iCs/>
        </w:rPr>
        <w:t xml:space="preserve">Appl Mech Rev</w:t>
      </w:r>
      <w:r>
        <w:t xml:space="preserve"> </w:t>
      </w:r>
      <w:r>
        <w:t xml:space="preserve">1996;49(1):1–28.</w:t>
      </w:r>
    </w:p>
    <w:p>
      <w:pPr>
        <w:pStyle w:val="Compact"/>
        <w:numPr>
          <w:ilvl w:val="0"/>
          <w:numId w:val="1003"/>
        </w:numPr>
      </w:pPr>
      <w:r>
        <w:t xml:space="preserve">Newmark NM. A method of computation for structural dynamics.</w:t>
      </w:r>
      <w:r>
        <w:t xml:space="preserve"> </w:t>
      </w:r>
      <w:r>
        <w:rPr>
          <w:i/>
          <w:iCs/>
        </w:rPr>
        <w:t xml:space="preserve">J Eng Mech Div ASCE</w:t>
      </w:r>
      <w:r>
        <w:t xml:space="preserve"> </w:t>
      </w:r>
      <w:r>
        <w:t xml:space="preserve">1959;85(3):67–94.</w:t>
      </w:r>
    </w:p>
    <w:p>
      <w:pPr>
        <w:pStyle w:val="Compact"/>
        <w:numPr>
          <w:ilvl w:val="0"/>
          <w:numId w:val="1003"/>
        </w:numPr>
      </w:pPr>
      <w:r>
        <w:t xml:space="preserve">Hilber HM, Hughes TJR, Taylor RL. Improved numerical dissipation for time integration algorithms in structural dynamics.</w:t>
      </w:r>
      <w:r>
        <w:t xml:space="preserve"> </w:t>
      </w:r>
      <w:r>
        <w:rPr>
          <w:i/>
          <w:iCs/>
        </w:rPr>
        <w:t xml:space="preserve">Earthq Eng Struct Dyn</w:t>
      </w:r>
      <w:r>
        <w:t xml:space="preserve"> </w:t>
      </w:r>
      <w:r>
        <w:t xml:space="preserve">1977;5(3):283–92.</w:t>
      </w:r>
    </w:p>
    <w:p>
      <w:pPr>
        <w:pStyle w:val="Compact"/>
        <w:numPr>
          <w:ilvl w:val="0"/>
          <w:numId w:val="1003"/>
        </w:numPr>
      </w:pPr>
      <w:r>
        <w:t xml:space="preserve">Houbolt JC. A recurrence matrix solution for the dynamic response of elastic aircraft.</w:t>
      </w:r>
      <w:r>
        <w:t xml:space="preserve"> </w:t>
      </w:r>
      <w:r>
        <w:rPr>
          <w:i/>
          <w:iCs/>
        </w:rPr>
        <w:t xml:space="preserve">J Aeronaut Sci</w:t>
      </w:r>
      <w:r>
        <w:t xml:space="preserve"> </w:t>
      </w:r>
      <w:r>
        <w:t xml:space="preserve">1950;17(9):540–50.</w:t>
      </w:r>
    </w:p>
    <w:p>
      <w:pPr>
        <w:pStyle w:val="Compact"/>
        <w:numPr>
          <w:ilvl w:val="0"/>
          <w:numId w:val="1003"/>
        </w:numPr>
      </w:pPr>
      <w:r>
        <w:t xml:space="preserve">Wilson EL, Farhoomand I, Bathe KJ. Nonlinear dynamic analysis of complex structures.</w:t>
      </w:r>
      <w:r>
        <w:t xml:space="preserve"> </w:t>
      </w:r>
      <w:r>
        <w:rPr>
          <w:i/>
          <w:iCs/>
        </w:rPr>
        <w:t xml:space="preserve">Earthq Eng Struct Dyn</w:t>
      </w:r>
      <w:r>
        <w:t xml:space="preserve"> </w:t>
      </w:r>
      <w:r>
        <w:t xml:space="preserve">1972;1(3):241–52.</w:t>
      </w:r>
    </w:p>
    <w:p>
      <w:pPr>
        <w:pStyle w:val="Compact"/>
        <w:numPr>
          <w:ilvl w:val="0"/>
          <w:numId w:val="1003"/>
        </w:numPr>
      </w:pPr>
      <w:r>
        <w:t xml:space="preserve">Durbin F. Numerical inversion of Laplace transforms: an efficient improvement to Dubner and Abate’s method.</w:t>
      </w:r>
      <w:r>
        <w:t xml:space="preserve"> </w:t>
      </w:r>
      <w:r>
        <w:rPr>
          <w:i/>
          <w:iCs/>
        </w:rPr>
        <w:t xml:space="preserve">Comput J</w:t>
      </w:r>
      <w:r>
        <w:t xml:space="preserve"> </w:t>
      </w:r>
      <w:r>
        <w:t xml:space="preserve">1974;17(4):371–6.</w:t>
      </w:r>
    </w:p>
    <w:p>
      <w:pPr>
        <w:pStyle w:val="Compact"/>
        <w:numPr>
          <w:ilvl w:val="0"/>
          <w:numId w:val="1003"/>
        </w:numPr>
      </w:pPr>
      <w:r>
        <w:t xml:space="preserve">Talbot A. The accurate numerical inversion of Laplace transforms.</w:t>
      </w:r>
      <w:r>
        <w:t xml:space="preserve"> </w:t>
      </w:r>
      <w:r>
        <w:rPr>
          <w:i/>
          <w:iCs/>
        </w:rPr>
        <w:t xml:space="preserve">J Inst Math Appl</w:t>
      </w:r>
      <w:r>
        <w:t xml:space="preserve"> </w:t>
      </w:r>
      <w:r>
        <w:t xml:space="preserve">1979;23(1):97–120.</w:t>
      </w:r>
    </w:p>
    <w:p>
      <w:pPr>
        <w:pStyle w:val="Compact"/>
        <w:numPr>
          <w:ilvl w:val="0"/>
          <w:numId w:val="1003"/>
        </w:numPr>
      </w:pPr>
      <w:r>
        <w:t xml:space="preserve">Shampine LF, Reichelt MW. The MATLAB ODE suite.</w:t>
      </w:r>
      <w:r>
        <w:t xml:space="preserve"> </w:t>
      </w:r>
      <w:r>
        <w:rPr>
          <w:i/>
          <w:iCs/>
        </w:rPr>
        <w:t xml:space="preserve">SIAM J Sci Comput</w:t>
      </w:r>
      <w:r>
        <w:t xml:space="preserve"> </w:t>
      </w:r>
      <w:r>
        <w:t xml:space="preserve">1997;18(1):1–22.</w:t>
      </w:r>
    </w:p>
    <w:p>
      <w:pPr>
        <w:pStyle w:val="Compact"/>
        <w:numPr>
          <w:ilvl w:val="0"/>
          <w:numId w:val="1003"/>
        </w:numPr>
      </w:pPr>
      <w:r>
        <w:t xml:space="preserve">Lord HW, Shulman Y. A generalized dynamical theory of thermoelasticity.</w:t>
      </w:r>
      <w:r>
        <w:t xml:space="preserve"> </w:t>
      </w:r>
      <w:r>
        <w:rPr>
          <w:i/>
          <w:iCs/>
        </w:rPr>
        <w:t xml:space="preserve">J Mech Phys Solids</w:t>
      </w:r>
      <w:r>
        <w:t xml:space="preserve"> </w:t>
      </w:r>
      <w:r>
        <w:t xml:space="preserve">1967;15(5):299–309.</w:t>
      </w:r>
    </w:p>
    <w:p>
      <w:pPr>
        <w:pStyle w:val="Compact"/>
        <w:numPr>
          <w:ilvl w:val="0"/>
          <w:numId w:val="1003"/>
        </w:numPr>
      </w:pPr>
      <w:r>
        <w:t xml:space="preserve">Bagri A, Eslami MR. A unified generalized thermoelasticity; solution for cylinders and spheres.</w:t>
      </w:r>
      <w:r>
        <w:t xml:space="preserve"> </w:t>
      </w:r>
      <w:r>
        <w:rPr>
          <w:i/>
          <w:iCs/>
        </w:rPr>
        <w:t xml:space="preserve">Int J Mech Sci</w:t>
      </w:r>
      <w:r>
        <w:t xml:space="preserve"> </w:t>
      </w:r>
      <w:r>
        <w:t xml:space="preserve">2007;49(12):1325–35.</w:t>
      </w:r>
    </w:p>
    <w:p>
      <w:pPr>
        <w:pStyle w:val="Compact"/>
        <w:numPr>
          <w:ilvl w:val="0"/>
          <w:numId w:val="1003"/>
        </w:numPr>
      </w:pPr>
      <w:r>
        <w:t xml:space="preserve">Reddy JN.</w:t>
      </w:r>
      <w:r>
        <w:t xml:space="preserve"> </w:t>
      </w:r>
      <w:r>
        <w:rPr>
          <w:i/>
          <w:iCs/>
        </w:rPr>
        <w:t xml:space="preserve">An Introduction to the Finite Element Method</w:t>
      </w:r>
      <w:r>
        <w:t xml:space="preserve">. McGraw-Hill.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[Paper 1 of this series — cite as submitted / in press.]</w:t>
      </w:r>
    </w:p>
    <w:p>
      <w:r>
        <w:pict>
          <v:rect style="width:0;height:1.5pt" o:hralign="center" o:hrstd="t" o:hr="t"/>
        </w:pict>
      </w:r>
    </w:p>
    <w:bookmarkEnd w:id="23"/>
    <w:bookmarkStart w:id="24" w:name="submission-checklist"/>
    <w:p>
      <w:pPr>
        <w:pStyle w:val="Heading2"/>
      </w:pPr>
      <w:r>
        <w:t xml:space="preserve">Submission checklist</w:t>
      </w:r>
    </w:p>
    <w:p>
      <w:pPr>
        <w:pStyle w:val="Compact"/>
        <w:numPr>
          <w:ilvl w:val="0"/>
          <w:numId w:val="1004"/>
        </w:numPr>
      </w:pPr>
      <w:r>
        <w:t xml:space="preserve">The DQM-breakdown subsection (§4.1) is the most likely to draw referee pushback — have the condition-number data ready as a response even if it is not in the paper</w:t>
      </w:r>
    </w:p>
    <w:p>
      <w:pPr>
        <w:pStyle w:val="Compact"/>
        <w:numPr>
          <w:ilvl w:val="0"/>
          <w:numId w:val="1005"/>
        </w:numPr>
      </w:pPr>
      <w:r>
        <w:t xml:space="preserve">Publish the benchmark data as supplementary material; it is much of the paper’s reuse value</w:t>
      </w:r>
    </w:p>
    <w:p>
      <w:pPr>
        <w:pStyle w:val="Compact"/>
        <w:numPr>
          <w:ilvl w:val="0"/>
          <w:numId w:val="1006"/>
        </w:numPr>
      </w:pPr>
      <w:r>
        <w:t xml:space="preserve">Confirm the exact-solution derivation is written out in full in an appendix</w:t>
      </w:r>
    </w:p>
    <w:p>
      <w:pPr>
        <w:pStyle w:val="Compact"/>
        <w:numPr>
          <w:ilvl w:val="0"/>
          <w:numId w:val="1007"/>
        </w:numPr>
      </w:pPr>
      <w:r>
        <w:t xml:space="preserve">Verify no figure overlaps Papers 1 and 2</w:t>
      </w:r>
    </w:p>
    <w:p>
      <w:pPr>
        <w:pStyle w:val="Compact"/>
        <w:numPr>
          <w:ilvl w:val="0"/>
          <w:numId w:val="1008"/>
        </w:numPr>
      </w:pPr>
      <w:r>
        <w:t xml:space="preserve">Author order and thesis footnote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2026-09-26T19:21:10Z</dcterms:created>
  <dcterms:modified xsi:type="dcterms:W3CDTF">2026-09-26T19:21:10Z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ltr</vt:lpwstr>
  </property>
</Properties>
</file>