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a9875cbff0a14e3bd5c25216e263e5a2171b548"/>
    <w:p>
      <w:pPr>
        <w:pStyle w:val="Heading1"/>
      </w:pPr>
      <w:r>
        <w:t xml:space="preserve">Publication portfolio from the thesis — proposed papers, targets, and scope boundaries</w:t>
      </w:r>
    </w:p>
    <w:p>
      <w:pPr>
        <w:pStyle w:val="FirstParagraph"/>
      </w:pPr>
      <w:r>
        <w:t xml:space="preserve">This note proposes how the thesis material should be split into journal papers, which</w:t>
      </w:r>
      <w:r>
        <w:t xml:space="preserve"> </w:t>
      </w:r>
      <w:r>
        <w:t xml:space="preserve">journal each should target, what each one’s defensible novelty claim is, and — importantly</w:t>
      </w:r>
      <w:r>
        <w:t xml:space="preserve"> </w:t>
      </w:r>
      <w:r>
        <w:t xml:space="preserve">— where the boundaries between them must be drawn so that the set does not read as</w:t>
      </w:r>
      <w:r>
        <w:t xml:space="preserve"> </w:t>
      </w:r>
      <w:r>
        <w:t xml:space="preserve">salami-slicing to an editor.</w:t>
      </w:r>
    </w:p>
    <w:p>
      <w:pPr>
        <w:pStyle w:val="BodyText"/>
      </w:pPr>
      <w:r>
        <w:t xml:space="preserve">Three papers are proposed. The thesis contains enough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material for three</w:t>
      </w:r>
      <w:r>
        <w:t xml:space="preserve"> </w:t>
      </w:r>
      <w:r>
        <w:t xml:space="preserve">because the three address different questions, for different readerships, with different</w:t>
      </w:r>
      <w:r>
        <w:t xml:space="preserve"> </w:t>
      </w:r>
      <w:r>
        <w:t xml:space="preserve">methods sections. A fourth paper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recommended; the remaining material is better</w:t>
      </w:r>
      <w:r>
        <w:t xml:space="preserve"> </w:t>
      </w:r>
      <w:r>
        <w:t xml:space="preserve">used to strengthen these three.</w:t>
      </w:r>
    </w:p>
    <w:p>
      <w:r>
        <w:pict>
          <v:rect style="width:0;height:1.5pt" o:hralign="center" o:hrstd="t" o:hr="t"/>
        </w:pict>
      </w:r>
    </w:p>
    <w:bookmarkStart w:id="9" w:name="a-word-of-caution-before-submitting"/>
    <w:p>
      <w:pPr>
        <w:pStyle w:val="Heading2"/>
      </w:pPr>
      <w:r>
        <w:t xml:space="preserve">A word of caution before submitting</w:t>
      </w:r>
    </w:p>
    <w:p>
      <w:pPr>
        <w:pStyle w:val="FirstParagraph"/>
      </w:pPr>
      <w:r>
        <w:t xml:space="preserve">Editors at Composite Structures, IJPVP and Journal of Thermal Stresses all screen for</w:t>
      </w:r>
      <w:r>
        <w:t xml:space="preserve"> </w:t>
      </w:r>
      <w:r>
        <w:t xml:space="preserve">duplicate submission and redundant publication. Three papers from one MSc thesis is</w:t>
      </w:r>
      <w:r>
        <w:t xml:space="preserve"> </w:t>
      </w:r>
      <w:r>
        <w:t xml:space="preserve">defensible</w:t>
      </w:r>
      <w:r>
        <w:t xml:space="preserve"> </w:t>
      </w:r>
      <w:r>
        <w:rPr>
          <w:b/>
          <w:bCs/>
        </w:rPr>
        <w:t xml:space="preserve">only if</w:t>
      </w:r>
      <w:r>
        <w:t xml:space="preserve"> </w:t>
      </w:r>
      <w:r>
        <w:t xml:space="preserve">each has its own question, its own results, and its own conclusions.</w:t>
      </w:r>
      <w:r>
        <w:t xml:space="preserve"> </w:t>
      </w:r>
      <w:r>
        <w:t xml:space="preserve">The rules that keep this set clean: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results figure never appears in two papers.</w:t>
      </w:r>
      <w:r>
        <w:t xml:space="preserve"> </w:t>
      </w:r>
      <w:r>
        <w:t xml:space="preserve">The figure inventory below assigns</w:t>
      </w:r>
      <w:r>
        <w:t xml:space="preserve"> </w:t>
      </w:r>
      <w:r>
        <w:t xml:space="preserve">each existing figure to exactly one paper. If a figure is genuinely needed as context in</w:t>
      </w:r>
      <w:r>
        <w:t xml:space="preserve"> </w:t>
      </w:r>
      <w:r>
        <w:t xml:space="preserve">a second paper, redraw it in reduced form and cite the first paper.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formulation section is written fresh each time and kept short in Papers 2 and 3.</w:t>
      </w:r>
      <w:r>
        <w:t xml:space="preserve"> </w:t>
      </w:r>
      <w:r>
        <w:t xml:space="preserve">Paper 1 carries the full derivation; Papers 2 and 3 compress it to half a page and cite</w:t>
      </w:r>
      <w:r>
        <w:t xml:space="preserve"> </w:t>
      </w:r>
      <w:r>
        <w:t xml:space="preserve">Paper 1. Do not copy-paste paragraphs between them — that is text recycling and will be</w:t>
      </w:r>
      <w:r>
        <w:t xml:space="preserve"> </w:t>
      </w:r>
      <w:r>
        <w:t xml:space="preserve">caught by similarity screening.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 Paper 1 first, and cite it as</w:t>
      </w:r>
      <w:r>
        <w:rPr>
          <w:b/>
          <w:bCs/>
        </w:rPr>
        <w:t xml:space="preserve"> </w:t>
      </w:r>
      <w:r>
        <w:rPr>
          <w:b/>
          <w:bCs/>
        </w:rPr>
        <w:t xml:space="preserve">“submitted”</w:t>
      </w:r>
      <w:r>
        <w:rPr>
          <w:b/>
          <w:bCs/>
        </w:rPr>
        <w:t xml:space="preserve">/</w:t>
      </w:r>
      <w:r>
        <w:rPr>
          <w:b/>
          <w:bCs/>
        </w:rPr>
        <w:t xml:space="preserve">“in press”</w:t>
      </w:r>
      <w:r>
        <w:rPr>
          <w:b/>
          <w:bCs/>
        </w:rPr>
        <w:t xml:space="preserve"> </w:t>
      </w:r>
      <w:r>
        <w:rPr>
          <w:b/>
          <w:bCs/>
        </w:rPr>
        <w:t xml:space="preserve">in Papers 2 and 3.</w:t>
      </w:r>
      <w:r>
        <w:t xml:space="preserve"> </w:t>
      </w:r>
      <w:r>
        <w:t xml:space="preserve">This</w:t>
      </w:r>
      <w:r>
        <w:t xml:space="preserve"> </w:t>
      </w:r>
      <w:r>
        <w:t xml:space="preserve">makes the relationship explicit and is what reviewers expect to see.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Disclose the thesis.</w:t>
      </w:r>
      <w:r>
        <w:t xml:space="preserve"> </w:t>
      </w:r>
      <w:r>
        <w:t xml:space="preserve">A footnote —</w:t>
      </w:r>
      <w:r>
        <w:t xml:space="preserve"> </w:t>
      </w:r>
      <w:r>
        <w:t xml:space="preserve">“This paper is based in part on the first author’s</w:t>
      </w:r>
      <w:r>
        <w:t xml:space="preserve"> </w:t>
      </w:r>
      <w:r>
        <w:t xml:space="preserve">MSc thesis at Persian Gulf University”</w:t>
      </w:r>
      <w:r>
        <w:t xml:space="preserve"> </w:t>
      </w:r>
      <w:r>
        <w:t xml:space="preserve">— is standard, honest, and causes no problem.</w:t>
      </w:r>
      <w:r>
        <w:t xml:space="preserve"> </w:t>
      </w:r>
      <w:r>
        <w:t xml:space="preserve">Omitting it can.</w:t>
      </w:r>
    </w:p>
    <w:p>
      <w:r>
        <w:pict>
          <v:rect style="width:0;height:1.5pt" o:hralign="center" o:hrstd="t" o:hr="t"/>
        </w:pict>
      </w:r>
    </w:p>
    <w:bookmarkEnd w:id="9"/>
    <w:bookmarkStart w:id="10" w:name="Xfdd9e241e8824298ee686894c1fd53f7fe66d1a"/>
    <w:p>
      <w:pPr>
        <w:pStyle w:val="Heading2"/>
      </w:pPr>
      <w:r>
        <w:t xml:space="preserve">Paper 1 (flagship) — the GPL × porosity pattern interaction map</w:t>
      </w:r>
    </w:p>
    <w:p>
      <w:pPr>
        <w:pStyle w:val="FirstParagraph"/>
      </w:pPr>
      <w:r>
        <w:rPr>
          <w:b/>
          <w:bCs/>
        </w:rPr>
        <w:t xml:space="preserve">Working title</w:t>
      </w:r>
      <w:r>
        <w:t xml:space="preserve"> </w:t>
      </w:r>
      <w:r>
        <w:t xml:space="preserve">&gt; Coupled Lord–Shulman thermoelastic response of multilayer porous GPL-reinforced thick</w:t>
      </w:r>
      <w:r>
        <w:t xml:space="preserve"> </w:t>
      </w:r>
      <w:r>
        <w:t xml:space="preserve">&gt; cylinders: a full interaction map of graphene and porosity distribution patterns</w:t>
      </w:r>
    </w:p>
    <w:p>
      <w:pPr>
        <w:pStyle w:val="BodyText"/>
      </w:pPr>
      <w:r>
        <w:rPr>
          <w:b/>
          <w:bCs/>
        </w:rPr>
        <w:t xml:space="preserve">The question.</w:t>
      </w:r>
      <w:r>
        <w:t xml:space="preserve"> </w:t>
      </w:r>
      <w:r>
        <w:t xml:space="preserve">Given that both the graphene platelet distribution and the porosity</w:t>
      </w:r>
      <w:r>
        <w:t xml:space="preserve"> </w:t>
      </w:r>
      <w:r>
        <w:t xml:space="preserve">distribution can each be graded through the wall, does the</w:t>
      </w:r>
      <w:r>
        <w:t xml:space="preserve"> </w:t>
      </w:r>
      <w:r>
        <w:rPr>
          <w:i/>
          <w:iCs/>
        </w:rPr>
        <w:t xml:space="preserve">pair</w:t>
      </w:r>
      <w:r>
        <w:t xml:space="preserve"> </w:t>
      </w:r>
      <w:r>
        <w:t xml:space="preserve">behave as the sum of the</w:t>
      </w:r>
      <w:r>
        <w:t xml:space="preserve"> </w:t>
      </w:r>
      <w:r>
        <w:t xml:space="preserve">two individual choices — or do the patterns interact?</w:t>
      </w:r>
    </w:p>
    <w:p>
      <w:pPr>
        <w:pStyle w:val="BodyText"/>
      </w:pPr>
      <w:r>
        <w:rPr>
          <w:b/>
          <w:bCs/>
        </w:rPr>
        <w:t xml:space="preserve">The answer (the paper’s headline).</w:t>
      </w:r>
      <w:r>
        <w:t xml:space="preserve"> </w:t>
      </w:r>
      <w:r>
        <w:t xml:space="preserve">They interact strongly, and the interaction is</w:t>
      </w:r>
      <w:r>
        <w:t xml:space="preserve"> </w:t>
      </w:r>
      <w:r>
        <w:t xml:space="preserve">governed by whether the two gradings are aligned or mirrored. Porosity pattern A</w:t>
      </w:r>
      <w:r>
        <w:t xml:space="preserve"> </w:t>
      </w:r>
      <w:r>
        <w:t xml:space="preserve">(pore-rich at the cooled outer surface) is a</w:t>
      </w:r>
      <w:r>
        <w:t xml:space="preserve"> </w:t>
      </w:r>
      <w:r>
        <w:rPr>
          <w:i/>
          <w:iCs/>
        </w:rPr>
        <w:t xml:space="preserve">universal</w:t>
      </w:r>
      <w:r>
        <w:t xml:space="preserve"> </w:t>
      </w:r>
      <w:r>
        <w:t xml:space="preserve">thermal barrier: it gives the</w:t>
      </w:r>
      <w:r>
        <w:t xml:space="preserve"> </w:t>
      </w:r>
      <w:r>
        <w:t xml:space="preserve">lowest outer-surface temperature regardless of which GPL pattern it is paired with</w:t>
      </w:r>
      <w:r>
        <w:t xml:space="preserve"> </w:t>
      </w:r>
      <w:r>
        <w:t xml:space="preserve">(0.107, 0.064, 0.116, 0.034, 0.134 along that column). The best pair of all twenty-five,</w:t>
      </w:r>
      <w:r>
        <w:t xml:space="preserve"> </w:t>
      </w:r>
      <w:r>
        <w:t xml:space="preserve">GPL-V with porosity-A, holds the outer surface at T* = 0.034 against the uniform</w:t>
      </w:r>
      <w:r>
        <w:t xml:space="preserve"> </w:t>
      </w:r>
      <w:r>
        <w:t xml:space="preserve">reference’s 0.883 — a twenty-six-fold reduction — while its inner hoop stress stays a</w:t>
      </w:r>
      <w:r>
        <w:t xml:space="preserve"> </w:t>
      </w:r>
      <w:r>
        <w:t xml:space="preserve">benign compressive −0.378. Pair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GPL-V with porosity-V instead, so both phases</w:t>
      </w:r>
      <w:r>
        <w:t xml:space="preserve"> </w:t>
      </w:r>
      <w:r>
        <w:t xml:space="preserve">crowd the inner surface, and the two mechanisms cancel: the outer surface climbs back to</w:t>
      </w:r>
      <w:r>
        <w:t xml:space="preserve"> </w:t>
      </w:r>
      <w:r>
        <w:t xml:space="preserve">0.692. And a temperature-only screening would miss the real hazard: X-GPL with V-porosity</w:t>
      </w:r>
      <w:r>
        <w:t xml:space="preserve"> </w:t>
      </w:r>
      <w:r>
        <w:t xml:space="preserve">is only moderately hot yet carries a peak hoop stress of 4.20, the largest of the matrix.</w:t>
      </w:r>
    </w:p>
    <w:p>
      <w:pPr>
        <w:pStyle w:val="BodyText"/>
      </w:pPr>
      <w:r>
        <w:rPr>
          <w:b/>
          <w:bCs/>
        </w:rPr>
        <w:t xml:space="preserve">Why it is publishable.</w:t>
      </w:r>
      <w:r>
        <w:t xml:space="preserve"> </w:t>
      </w:r>
      <w:r>
        <w:t xml:space="preserve">Individual GPL patterns and individual porosity patterns have</w:t>
      </w:r>
      <w:r>
        <w:t xml:space="preserve"> </w:t>
      </w:r>
      <w:r>
        <w:t xml:space="preserve">each been studied. The 5 × 5 pairing has not — for this configuration nothing comparable</w:t>
      </w:r>
      <w:r>
        <w:t xml:space="preserve"> </w:t>
      </w:r>
      <w:r>
        <w:t xml:space="preserve">exists, and the mirror-pattern cancellation mechanism is a genuine physical result, not a</w:t>
      </w:r>
      <w:r>
        <w:t xml:space="preserve"> </w:t>
      </w:r>
      <w:r>
        <w:t xml:space="preserve">parameter sweep. The design chart (best/worst corners in both temperature and stress) is</w:t>
      </w:r>
      <w:r>
        <w:t xml:space="preserve"> </w:t>
      </w:r>
      <w:r>
        <w:t xml:space="preserve">the kind of concrete deliverable applied journals like.</w:t>
      </w:r>
    </w:p>
    <w:p>
      <w:pPr>
        <w:pStyle w:val="BodyText"/>
      </w:pPr>
      <w:r>
        <w:rPr>
          <w:b/>
          <w:bCs/>
        </w:rPr>
        <w:t xml:space="preserve">Supporting content.</w:t>
      </w:r>
      <w:r>
        <w:t xml:space="preserve"> </w:t>
      </w:r>
      <w:r>
        <w:t xml:space="preserve">Full formulation; layerwise DQM + Newmark solution; the five-test</w:t>
      </w:r>
      <w:r>
        <w:t xml:space="preserve"> </w:t>
      </w:r>
      <w:r>
        <w:t xml:space="preserve">validation; the individual pattern studies (§4-5, 4-6) as the setup for the matrix; the</w:t>
      </w:r>
      <w:r>
        <w:t xml:space="preserve"> </w:t>
      </w:r>
      <w:r>
        <w:t xml:space="preserve">interaction matrix (§4-13) as the core; weight fraction (§4-7) and aspect ratio (§4-8) as</w:t>
      </w:r>
      <w:r>
        <w:t xml:space="preserve"> </w:t>
      </w:r>
      <w:r>
        <w:t xml:space="preserve">secondary levers; pressure (§4-11) and end supports (§4-10) as the loading context.</w:t>
      </w:r>
    </w:p>
    <w:p>
      <w:pPr>
        <w:pStyle w:val="BodyText"/>
      </w:pPr>
      <w:r>
        <w:rPr>
          <w:b/>
          <w:bCs/>
        </w:rPr>
        <w:t xml:space="preserve">Target journals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Journal</w:t>
            </w:r>
          </w:p>
        </w:tc>
        <w:tc>
          <w:tcPr/>
          <w:p>
            <w:pPr>
              <w:pStyle w:val="Compact"/>
            </w:pPr>
            <w:r>
              <w:t xml:space="preserve">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Composite Structures</w:t>
            </w:r>
          </w:p>
        </w:tc>
        <w:tc>
          <w:tcPr/>
          <w:p>
            <w:pPr>
              <w:pStyle w:val="Compact"/>
            </w:pPr>
            <w:r>
              <w:t xml:space="preserve">GPL-reinforced graded structures are its core diet; design-oriented results welcomed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Composites Part B: Engineering</w:t>
            </w:r>
          </w:p>
        </w:tc>
        <w:tc>
          <w:tcPr/>
          <w:p>
            <w:pPr>
              <w:pStyle w:val="Compact"/>
            </w:pPr>
            <w:r>
              <w:t xml:space="preserve">Published Heydarpour’s LS GPL spherical shell work — direct lineage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International Journal of Pressure Vessels and Piping</w:t>
            </w:r>
          </w:p>
        </w:tc>
        <w:tc>
          <w:tcPr/>
          <w:p>
            <w:pPr>
              <w:pStyle w:val="Compact"/>
            </w:pPr>
            <w:r>
              <w:t xml:space="preserve">Best fit for the</w:t>
            </w:r>
            <w:r>
              <w:t xml:space="preserve"> </w:t>
            </w:r>
            <w:r>
              <w:rPr>
                <w:i/>
                <w:iCs/>
              </w:rPr>
              <w:t xml:space="preserve">thick</w:t>
            </w:r>
            <w:r>
              <w:t xml:space="preserve">-walled cylinder framing (R_o/R_i = 1.5)</w:t>
            </w:r>
          </w:p>
        </w:tc>
      </w:tr>
    </w:tbl>
    <w:p>
      <w:pPr>
        <w:pStyle w:val="BodyText"/>
      </w:pPr>
      <w:r>
        <w:t xml:space="preserve">Note on</w:t>
      </w:r>
      <w:r>
        <w:t xml:space="preserve"> </w:t>
      </w:r>
      <w:r>
        <w:rPr>
          <w:i/>
          <w:iCs/>
        </w:rPr>
        <w:t xml:space="preserve">Thin-Walled Structures</w:t>
      </w:r>
      <w:r>
        <w:t xml:space="preserve">: despite the GPL literature living there, the cylinder</w:t>
      </w:r>
      <w:r>
        <w:t xml:space="preserve"> </w:t>
      </w:r>
      <w:r>
        <w:t xml:space="preserve">here is explicitly thick-walled, and a referee will say so. Use TWS only if the framing is</w:t>
      </w:r>
      <w:r>
        <w:t xml:space="preserve"> </w:t>
      </w:r>
      <w:r>
        <w:t xml:space="preserve">changed, which is not recommended.</w:t>
      </w:r>
    </w:p>
    <w:p>
      <w:r>
        <w:pict>
          <v:rect style="width:0;height:1.5pt" o:hralign="center" o:hrstd="t" o:hr="t"/>
        </w:pict>
      </w:r>
    </w:p>
    <w:bookmarkEnd w:id="10"/>
    <w:bookmarkStart w:id="11" w:name="Xb6217c7fd2765b10146511c632271fb0d11e9d5"/>
    <w:p>
      <w:pPr>
        <w:pStyle w:val="Heading2"/>
      </w:pPr>
      <w:r>
        <w:t xml:space="preserve">Paper 2 — which generalized thermoelasticity theory actually matters</w:t>
      </w:r>
    </w:p>
    <w:p>
      <w:pPr>
        <w:pStyle w:val="FirstParagraph"/>
      </w:pPr>
      <w:r>
        <w:rPr>
          <w:b/>
          <w:bCs/>
        </w:rPr>
        <w:t xml:space="preserve">Working title</w:t>
      </w:r>
      <w:r>
        <w:t xml:space="preserve"> </w:t>
      </w:r>
      <w:r>
        <w:t xml:space="preserve">&gt; Do the generalized thermoelasticity theories differ for porous GPL-reinforced cylinders?</w:t>
      </w:r>
      <w:r>
        <w:t xml:space="preserve"> </w:t>
      </w:r>
      <w:r>
        <w:t xml:space="preserve">&gt; A four-theory comparison under ramp and impulsive thermal loading</w:t>
      </w:r>
    </w:p>
    <w:p>
      <w:pPr>
        <w:pStyle w:val="BodyText"/>
      </w:pPr>
      <w:r>
        <w:rPr>
          <w:b/>
          <w:bCs/>
        </w:rPr>
        <w:t xml:space="preserve">The question.</w:t>
      </w:r>
      <w:r>
        <w:t xml:space="preserve"> </w:t>
      </w:r>
      <w:r>
        <w:t xml:space="preserve">Fourier, Lord–Shulman, dual-phase-lag and Green–Naghdi type III are all</w:t>
      </w:r>
      <w:r>
        <w:t xml:space="preserve"> </w:t>
      </w:r>
      <w:r>
        <w:t xml:space="preserve">in routine use. For this class of structure, under what loading do they actually give</w:t>
      </w:r>
      <w:r>
        <w:t xml:space="preserve"> </w:t>
      </w:r>
      <w:r>
        <w:t xml:space="preserve">different answers — and by how much?</w:t>
      </w:r>
    </w:p>
    <w:p>
      <w:pPr>
        <w:pStyle w:val="BodyText"/>
      </w:pPr>
      <w:r>
        <w:rPr>
          <w:b/>
          <w:bCs/>
        </w:rPr>
        <w:t xml:space="preserve">The answer.</w:t>
      </w:r>
      <w:r>
        <w:t xml:space="preserve"> </w:t>
      </w:r>
      <w:r>
        <w:t xml:space="preserve">Under a smooth ramp at a mild relaxation time the three dissipative</w:t>
      </w:r>
      <w:r>
        <w:t xml:space="preserve"> </w:t>
      </w:r>
      <w:r>
        <w:t xml:space="preserve">theories are nearly indistinguishable (Fourier 0.950, DPL 0.956, LS 0.962) and DPL sits</w:t>
      </w:r>
      <w:r>
        <w:t xml:space="preserve"> </w:t>
      </w:r>
      <w:r>
        <w:t xml:space="preserve">between Fourier and LS exactly as its structure predicts. Green–Naghdi III is the</w:t>
      </w:r>
      <w:r>
        <w:t xml:space="preserve"> </w:t>
      </w:r>
      <w:r>
        <w:t xml:space="preserve">outlier: peak 1.581 at Fo ≈ 0.33, still 0.870 at the end of the window, because its energy</w:t>
      </w:r>
      <w:r>
        <w:t xml:space="preserve"> </w:t>
      </w:r>
      <w:r>
        <w:t xml:space="preserve">equation carries no dissipative mechanism — its long-time behaviour is</w:t>
      </w:r>
      <w:r>
        <w:t xml:space="preserve"> </w:t>
      </w:r>
      <w:r>
        <w:rPr>
          <w:i/>
          <w:iCs/>
        </w:rPr>
        <w:t xml:space="preserve">qualitatively</w:t>
      </w:r>
      <w:r>
        <w:t xml:space="preserve"> </w:t>
      </w:r>
      <w:r>
        <w:t xml:space="preserve">different, not merely quantitatively. Change the loading to a short Gaussian pulse and the</w:t>
      </w:r>
      <w:r>
        <w:t xml:space="preserve"> </w:t>
      </w:r>
      <w:r>
        <w:t xml:space="preserve">Fourier/LS gap opens decisively: the classical pulse arrives early, smeared and weak (0.195</w:t>
      </w:r>
      <w:r>
        <w:t xml:space="preserve"> </w:t>
      </w:r>
      <w:r>
        <w:t xml:space="preserve">at Fo ≈ 0.18) and has effectively vanished by the end, while the LS pulse arrives later</w:t>
      </w:r>
      <w:r>
        <w:t xml:space="preserve"> </w:t>
      </w:r>
      <w:r>
        <w:t xml:space="preserve">(Fo ≈ 0.31), two and a half times stronger (0.478), and persists as a coherent packet.</w:t>
      </w:r>
      <w:r>
        <w:t xml:space="preserve"> </w:t>
      </w:r>
      <w:r>
        <w:t xml:space="preserve">The practical conclusion is a loading-dependent one: for slow thermal loads the theory</w:t>
      </w:r>
      <w:r>
        <w:t xml:space="preserve"> </w:t>
      </w:r>
      <w:r>
        <w:t xml:space="preserve">choice is nearly irrelevant and Fourier is defensible; for impulsive loads the classical</w:t>
      </w:r>
      <w:r>
        <w:t xml:space="preserve"> </w:t>
      </w:r>
      <w:r>
        <w:t xml:space="preserve">theory substantially under-predicts severity.</w:t>
      </w:r>
    </w:p>
    <w:p>
      <w:pPr>
        <w:pStyle w:val="BodyText"/>
      </w:pPr>
      <w:r>
        <w:rPr>
          <w:b/>
          <w:bCs/>
        </w:rPr>
        <w:t xml:space="preserve">Why it is publishable.</w:t>
      </w:r>
      <w:r>
        <w:t xml:space="preserve"> </w:t>
      </w:r>
      <w:r>
        <w:t xml:space="preserve">The theory-comparison literature is largely on homogeneous or</w:t>
      </w:r>
      <w:r>
        <w:t xml:space="preserve"> </w:t>
      </w:r>
      <w:r>
        <w:t xml:space="preserve">simple FG media. Doing it on a porous GPL-reinforced layered cylinder — where the</w:t>
      </w:r>
      <w:r>
        <w:t xml:space="preserve"> </w:t>
      </w:r>
      <w:r>
        <w:t xml:space="preserve">effective properties themselves vary by an order of magnitude through the wall — is new,</w:t>
      </w:r>
      <w:r>
        <w:t xml:space="preserve"> </w:t>
      </w:r>
      <w:r>
        <w:t xml:space="preserve">and the loading-dependence framing (</w:t>
      </w:r>
      <w:r>
        <w:t xml:space="preserve">“when does it matter?”</w:t>
      </w:r>
      <w:r>
        <w:t xml:space="preserve">) is more useful to a reader</w:t>
      </w:r>
      <w:r>
        <w:t xml:space="preserve"> </w:t>
      </w:r>
      <w:r>
        <w:t xml:space="preserve">than yet another single-theory solution.</w:t>
      </w:r>
    </w:p>
    <w:p>
      <w:pPr>
        <w:pStyle w:val="BodyText"/>
      </w:pPr>
      <w:r>
        <w:rPr>
          <w:b/>
          <w:bCs/>
        </w:rPr>
        <w:t xml:space="preserve">Supporting content.</w:t>
      </w:r>
      <w:r>
        <w:t xml:space="preserve"> </w:t>
      </w:r>
      <w:r>
        <w:t xml:space="preserve">§4-9 (relaxation time sweep, τ* = 0.04/0.15/0.44/0.87, showing the</w:t>
      </w:r>
      <w:r>
        <w:t xml:space="preserve"> </w:t>
      </w:r>
      <w:r>
        <w:t xml:space="preserve">overshoot growing to 1.166), §4-17 (Gaussian shock), §4-20 (the four-theory map), §4-14</w:t>
      </w:r>
      <w:r>
        <w:t xml:space="preserve"> </w:t>
      </w:r>
      <w:r>
        <w:t xml:space="preserve">(coupling on/off — the thermoelastic damping of the wave), plus the quantitative</w:t>
      </w:r>
      <w:r>
        <w:t xml:space="preserve"> </w:t>
      </w:r>
      <w:r>
        <w:t xml:space="preserve">second-sound validation against the exact Fourier–Bessel solution as the credibility</w:t>
      </w:r>
      <w:r>
        <w:t xml:space="preserve"> </w:t>
      </w:r>
      <w:r>
        <w:t xml:space="preserve">anchor.</w:t>
      </w:r>
    </w:p>
    <w:p>
      <w:pPr>
        <w:pStyle w:val="BodyText"/>
      </w:pPr>
      <w:r>
        <w:rPr>
          <w:b/>
          <w:bCs/>
        </w:rPr>
        <w:t xml:space="preserve">Target journals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Journal</w:t>
            </w:r>
          </w:p>
        </w:tc>
        <w:tc>
          <w:tcPr/>
          <w:p>
            <w:pPr>
              <w:pStyle w:val="Compact"/>
            </w:pPr>
            <w:r>
              <w:t xml:space="preserve">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Journal of Thermal Stresses</w:t>
            </w:r>
          </w:p>
        </w:tc>
        <w:tc>
          <w:tcPr/>
          <w:p>
            <w:pPr>
              <w:pStyle w:val="Compact"/>
            </w:pPr>
            <w:r>
              <w:t xml:space="preserve">The natural home of generalized-thermoelasticity theory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Acta Mechanica</w:t>
            </w:r>
          </w:p>
        </w:tc>
        <w:tc>
          <w:tcPr/>
          <w:p>
            <w:pPr>
              <w:pStyle w:val="Compact"/>
            </w:pPr>
            <w:r>
              <w:t xml:space="preserve">Publishes exactly this kind of theory-boundary study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Continuum Mechanics and Thermodynamics</w:t>
            </w:r>
          </w:p>
        </w:tc>
        <w:tc>
          <w:tcPr/>
          <w:p>
            <w:pPr>
              <w:pStyle w:val="Compact"/>
            </w:pPr>
            <w:r>
              <w:t xml:space="preserve">If the framing leans further toward the GN-III dissipation argument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4506a5d2b20e9e83b419bb6aaac631f43028dcf"/>
    <w:p>
      <w:pPr>
        <w:pStyle w:val="Heading2"/>
      </w:pPr>
      <w:r>
        <w:t xml:space="preserve">Paper 3 — the numerical-methods assessment and benchmark</w:t>
      </w:r>
    </w:p>
    <w:p>
      <w:pPr>
        <w:pStyle w:val="FirstParagraph"/>
      </w:pPr>
      <w:r>
        <w:rPr>
          <w:b/>
          <w:bCs/>
        </w:rPr>
        <w:t xml:space="preserve">Working title</w:t>
      </w:r>
      <w:r>
        <w:t xml:space="preserve"> </w:t>
      </w:r>
      <w:r>
        <w:t xml:space="preserve">&gt; Spatial and temporal discretization of coupled generalized thermoelasticity: a measured</w:t>
      </w:r>
      <w:r>
        <w:t xml:space="preserve"> </w:t>
      </w:r>
      <w:r>
        <w:t xml:space="preserve">&gt; comparison and an exact second-sound benchmark for layered cylinders</w:t>
      </w:r>
    </w:p>
    <w:p>
      <w:pPr>
        <w:pStyle w:val="BodyText"/>
      </w:pPr>
      <w:r>
        <w:rPr>
          <w:b/>
          <w:bCs/>
        </w:rPr>
        <w:t xml:space="preserve">The question.</w:t>
      </w:r>
      <w:r>
        <w:t xml:space="preserve"> </w:t>
      </w:r>
      <w:r>
        <w:t xml:space="preserve">For fully coupled hyperbolic thermoelasticity, which discretizations are</w:t>
      </w:r>
      <w:r>
        <w:t xml:space="preserve"> </w:t>
      </w:r>
      <w:r>
        <w:t xml:space="preserve">actually worth their cost — and how should a new solver in this field be verified?</w:t>
      </w:r>
    </w:p>
    <w:p>
      <w:pPr>
        <w:pStyle w:val="BodyText"/>
      </w:pPr>
      <w:r>
        <w:rPr>
          <w:b/>
          <w:bCs/>
        </w:rPr>
        <w:t xml:space="preserve">The answer.</w:t>
      </w:r>
      <w:r>
        <w:t xml:space="preserve"> </w:t>
      </w:r>
      <w:r>
        <w:t xml:space="preserve">Three results, in increasing order of interest:</w:t>
      </w:r>
    </w:p>
    <w:p>
      <w:pPr>
        <w:pStyle w:val="Compact"/>
        <w:numPr>
          <w:ilvl w:val="0"/>
          <w:numId w:val="1002"/>
        </w:numPr>
      </w:pPr>
      <w:r>
        <w:t xml:space="preserve">Differential quadrature reaches the time-step error floor at roughly 9–11 radial points</w:t>
      </w:r>
      <w:r>
        <w:t xml:space="preserve"> </w:t>
      </w:r>
      <w:r>
        <w:t xml:space="preserve">where quadratic FEM needs ~21 and both linear FEM and second-order FDM need ~161 — about</w:t>
      </w:r>
      <w:r>
        <w:t xml:space="preserve"> </w:t>
      </w:r>
      <w:r>
        <w:t xml:space="preserve">a fifteen-fold reduction per direction, squared in the (r,z) plane.</w:t>
      </w:r>
    </w:p>
    <w:p>
      <w:pPr>
        <w:pStyle w:val="Compact"/>
        <w:numPr>
          <w:ilvl w:val="0"/>
          <w:numId w:val="1002"/>
        </w:numPr>
      </w:pPr>
      <w:r>
        <w:t xml:space="preserve">Among six time integrators, Newmark, Houbolt and HHT-α are of equal accuracy at equal</w:t>
      </w:r>
      <w:r>
        <w:t xml:space="preserve"> </w:t>
      </w:r>
      <w:r>
        <w:t xml:space="preserve">step; Wilson-θ costs a five-fold error penalty to its extra dissipation; adaptive</w:t>
      </w:r>
      <w:r>
        <w:t xml:space="preserve"> </w:t>
      </w:r>
      <w:r>
        <w:t xml:space="preserve">NDF/BDF (ode15s) buys one decimal digit for eight times the cost.</w:t>
      </w:r>
    </w:p>
    <w:p>
      <w:pPr>
        <w:pStyle w:val="Compact"/>
        <w:numPr>
          <w:ilvl w:val="0"/>
          <w:numId w:val="1002"/>
        </w:numPr>
      </w:pPr>
      <w:r>
        <w:t xml:space="preserve">The one that is genuinely worth a paper:</w:t>
      </w:r>
      <w:r>
        <w:t xml:space="preserve"> </w:t>
      </w:r>
      <w:r>
        <w:rPr>
          <w:b/>
          <w:bCs/>
        </w:rPr>
        <w:t xml:space="preserve">the Laplace-transform route structurally</w:t>
      </w:r>
      <w:r>
        <w:rPr>
          <w:b/>
          <w:bCs/>
        </w:rPr>
        <w:t xml:space="preserve"> </w:t>
      </w:r>
      <w:r>
        <w:rPr>
          <w:b/>
          <w:bCs/>
        </w:rPr>
        <w:t xml:space="preserve">fails on the fully coupled system.</w:t>
      </w:r>
      <w:r>
        <w:t xml:space="preserve"> </w:t>
      </w:r>
      <w:r>
        <w:t xml:space="preserve">The undamped elastic poles of the coupled operator</w:t>
      </w:r>
      <w:r>
        <w:t xml:space="preserve"> </w:t>
      </w:r>
      <w:r>
        <w:t xml:space="preserve">lie</w:t>
      </w:r>
      <w:r>
        <w:t xml:space="preserve"> </w:t>
      </w:r>
      <w:r>
        <w:rPr>
          <w:i/>
          <w:iCs/>
        </w:rPr>
        <w:t xml:space="preserve">on</w:t>
      </w:r>
      <w:r>
        <w:t xml:space="preserve"> </w:t>
      </w:r>
      <w:r>
        <w:t xml:space="preserve">the Bromwich inversion contour, so the Durbin sum is poisoned by near-singular</w:t>
      </w:r>
      <w:r>
        <w:t xml:space="preserve"> </w:t>
      </w:r>
      <w:r>
        <w:t xml:space="preserve">solves — which is precisely why the literature only ever applies transform methods to</w:t>
      </w:r>
      <w:r>
        <w:t xml:space="preserve"> </w:t>
      </w:r>
      <w:r>
        <w:t xml:space="preserve">the thermal subsystem. That is usually left unstated; here it is demonstrated and</w:t>
      </w:r>
      <w:r>
        <w:t xml:space="preserve"> </w:t>
      </w:r>
      <w:r>
        <w:t xml:space="preserve">explained.</w:t>
      </w:r>
    </w:p>
    <w:p>
      <w:pPr>
        <w:pStyle w:val="FirstParagraph"/>
      </w:pPr>
      <w:r>
        <w:t xml:space="preserve">Alongside this sits the</w:t>
      </w:r>
      <w:r>
        <w:t xml:space="preserve"> </w:t>
      </w:r>
      <w:r>
        <w:rPr>
          <w:b/>
          <w:bCs/>
        </w:rPr>
        <w:t xml:space="preserve">exact benchmark</w:t>
      </w:r>
      <w:r>
        <w:t xml:space="preserve">: a closed-form Fourier–Bessel eigenfunction</w:t>
      </w:r>
      <w:r>
        <w:t xml:space="preserve"> </w:t>
      </w:r>
      <w:r>
        <w:t xml:space="preserve">solution for the Lord–Shulman wave in a hollow cylinder, verified independently (steady</w:t>
      </w:r>
      <w:r>
        <w:t xml:space="preserve"> </w:t>
      </w:r>
      <w:r>
        <w:t xml:space="preserve">limit to 1.9 × 10⁻¹⁶ of ΔT, hyperbolic causality to 4 × 10⁻⁶, front-jump ray law to 0.16 %,</w:t>
      </w:r>
      <w:r>
        <w:t xml:space="preserve"> </w:t>
      </w:r>
      <w:r>
        <w:t xml:space="preserve">self-converged to 8 × 10⁻⁴ at 400 modes) and then used to measure the solver at 0.32 %</w:t>
      </w:r>
      <w:r>
        <w:t xml:space="preserve"> </w:t>
      </w:r>
      <w:r>
        <w:t xml:space="preserve">pointwise / 0.065 % L₂. A reusable exact reference for second-sound codes is a service to</w:t>
      </w:r>
      <w:r>
        <w:t xml:space="preserve"> </w:t>
      </w:r>
      <w:r>
        <w:t xml:space="preserve">the field and gives the paper standalone value.</w:t>
      </w:r>
    </w:p>
    <w:p>
      <w:pPr>
        <w:pStyle w:val="BodyText"/>
      </w:pPr>
      <w:r>
        <w:rPr>
          <w:b/>
          <w:bCs/>
        </w:rPr>
        <w:t xml:space="preserve">Why it is publishable.</w:t>
      </w:r>
      <w:r>
        <w:t xml:space="preserve"> </w:t>
      </w:r>
      <w:r>
        <w:t xml:space="preserve">Method papers in this area are usually</w:t>
      </w:r>
      <w:r>
        <w:t xml:space="preserve"> </w:t>
      </w:r>
      <w:r>
        <w:t xml:space="preserve">“our method works”</w:t>
      </w:r>
      <w:r>
        <w:t xml:space="preserve">;</w:t>
      </w:r>
      <w:r>
        <w:t xml:space="preserve"> </w:t>
      </w:r>
      <w:r>
        <w:t xml:space="preserve">this one is a measured, like-for-like comparison with a negative result (Laplace) and a</w:t>
      </w:r>
      <w:r>
        <w:t xml:space="preserve"> </w:t>
      </w:r>
      <w:r>
        <w:t xml:space="preserve">reusable benchmark. That is a different and more citable contribution.</w:t>
      </w:r>
    </w:p>
    <w:p>
      <w:pPr>
        <w:pStyle w:val="BodyText"/>
      </w:pPr>
      <w:r>
        <w:rPr>
          <w:b/>
          <w:bCs/>
        </w:rPr>
        <w:t xml:space="preserve">Supporting content.</w:t>
      </w:r>
      <w:r>
        <w:t xml:space="preserve"> </w:t>
      </w:r>
      <w:r>
        <w:t xml:space="preserve">§4-3 (convergence in all four directions, including the finding</w:t>
      </w:r>
      <w:r>
        <w:t xml:space="preserve"> </w:t>
      </w:r>
      <w:r>
        <w:t xml:space="preserve">that N_z is the binding direction — 9.4 % error at N_z = 5), §4-18 (integrators), §4-19</w:t>
      </w:r>
      <w:r>
        <w:t xml:space="preserve"> </w:t>
      </w:r>
      <w:r>
        <w:t xml:space="preserve">(spatial methods), §4-4 (the validation suite), and the exact-solution derivation.</w:t>
      </w:r>
    </w:p>
    <w:p>
      <w:pPr>
        <w:pStyle w:val="BodyText"/>
      </w:pPr>
      <w:r>
        <w:rPr>
          <w:b/>
          <w:bCs/>
        </w:rPr>
        <w:t xml:space="preserve">Target journals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Journal</w:t>
            </w:r>
          </w:p>
        </w:tc>
        <w:tc>
          <w:tcPr/>
          <w:p>
            <w:pPr>
              <w:pStyle w:val="Compact"/>
            </w:pPr>
            <w:r>
              <w:t xml:space="preserve">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Applied Mathematical Modelling</w:t>
            </w:r>
          </w:p>
        </w:tc>
        <w:tc>
          <w:tcPr/>
          <w:p>
            <w:pPr>
              <w:pStyle w:val="Compact"/>
            </w:pPr>
            <w:r>
              <w:t xml:space="preserve">Method comparison plus benchmark is squarely in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Computers &amp; Structures</w:t>
            </w:r>
          </w:p>
        </w:tc>
        <w:tc>
          <w:tcPr/>
          <w:p>
            <w:pPr>
              <w:pStyle w:val="Compact"/>
            </w:pPr>
            <w:r>
              <w:t xml:space="preserve">If the framing leans on the solver/assembly 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Engineering with Computers</w:t>
            </w:r>
          </w:p>
        </w:tc>
        <w:tc>
          <w:tcPr/>
          <w:p>
            <w:pPr>
              <w:pStyle w:val="Compact"/>
            </w:pPr>
            <w:r>
              <w:t xml:space="preserve">Receptive to benchmark + comparative-assessment papers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9261c39467186db95ec667d4d62c60d6ab8cf68"/>
    <w:p>
      <w:pPr>
        <w:pStyle w:val="Heading2"/>
      </w:pPr>
      <w:r>
        <w:t xml:space="preserve">What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become a fourth paper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DQM end-mode instability</w:t>
      </w:r>
      <w:r>
        <w:t xml:space="preserve"> </w:t>
      </w:r>
      <w:r>
        <w:t xml:space="preserve">(free and roller end conditions excite spurious</w:t>
      </w:r>
      <w:r>
        <w:t xml:space="preserve"> </w:t>
      </w:r>
      <w:r>
        <w:t xml:space="preserve">mechanical modes and diverge, while simply-supported and clamped stay stable). This is a</w:t>
      </w:r>
      <w:r>
        <w:t xml:space="preserve"> </w:t>
      </w:r>
      <w:r>
        <w:t xml:space="preserve">real and reportable numerical finding, but it is one figure and one mechanism — not a</w:t>
      </w:r>
      <w:r>
        <w:t xml:space="preserve"> </w:t>
      </w:r>
      <w:r>
        <w:t xml:space="preserve">paper. It belongs as a subsection of Paper 3, where it strengthens the methods argument.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convergence/minimum-node study alone.</w:t>
      </w:r>
      <w:r>
        <w:t xml:space="preserve"> </w:t>
      </w:r>
      <w:r>
        <w:t xml:space="preserve">Also Paper 3 material.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pressure, convection, thickness, length and layer-count sweeps.</w:t>
      </w:r>
      <w:r>
        <w:t xml:space="preserve"> </w:t>
      </w:r>
      <w:r>
        <w:t xml:space="preserve">These are</w:t>
      </w:r>
      <w:r>
        <w:t xml:space="preserve"> </w:t>
      </w:r>
      <w:r>
        <w:t xml:space="preserve">competent parametric results but carry no distinct question. They are the supporting cast</w:t>
      </w:r>
      <w:r>
        <w:t xml:space="preserve"> </w:t>
      </w:r>
      <w:r>
        <w:t xml:space="preserve">of Paper 1. Splitting them out would be exactly the salami-slicing to avoid.</w:t>
      </w:r>
    </w:p>
    <w:p>
      <w:r>
        <w:pict>
          <v:rect style="width:0;height:1.5pt" o:hralign="center" o:hrstd="t" o:hr="t"/>
        </w:pict>
      </w:r>
    </w:p>
    <w:bookmarkEnd w:id="13"/>
    <w:bookmarkStart w:id="14" w:name="Xe0fe4826969aeb83f3e59fa3ee41a402ee7a033"/>
    <w:p>
      <w:pPr>
        <w:pStyle w:val="Heading2"/>
      </w:pPr>
      <w:r>
        <w:t xml:space="preserve">Figure allocation (no figure appears twice)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Existing figures to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A_GPL_patterns*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B_porosity_patterns*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E_porosity_level*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D_wt_low*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D2_wt_high*</w:t>
            </w:r>
            <w:r>
              <w:t xml:space="preserve">, aspect-ratio figures,</w:t>
            </w:r>
            <w:r>
              <w:t xml:space="preserve"> </w:t>
            </w:r>
            <w:r>
              <w:rPr>
                <w:rStyle w:val="VerbatimChar"/>
              </w:rPr>
              <w:t xml:space="preserve">F_end_BC*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G_pressure*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matrix25_*</w:t>
            </w:r>
            <w:r>
              <w:t xml:space="preserve"> </w:t>
            </w:r>
            <w:r>
              <w:t xml:space="preserve">(all),</w:t>
            </w:r>
            <w:r>
              <w:t xml:space="preserve"> </w:t>
            </w:r>
            <w:r>
              <w:rPr>
                <w:rStyle w:val="VerbatimChar"/>
              </w:rPr>
              <w:t xml:space="preserve">gplpor_por{UD,O,X,V,A}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bestworst</w:t>
            </w:r>
            <w:r>
              <w:t xml:space="preserve">, geometry + pattern schematics from</w:t>
            </w:r>
            <w:r>
              <w:t xml:space="preserve"> </w:t>
            </w:r>
            <w:r>
              <w:rPr>
                <w:rStyle w:val="VerbatimChar"/>
              </w:rPr>
              <w:t xml:space="preserve">figures_ch123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C_relaxation*</w:t>
            </w:r>
            <w:r>
              <w:t xml:space="preserve"> </w:t>
            </w:r>
            <w:r>
              <w:t xml:space="preserve">(incl. the N35 variants),</w:t>
            </w:r>
            <w:r>
              <w:t xml:space="preserve"> </w:t>
            </w:r>
            <w:r>
              <w:rPr>
                <w:rStyle w:val="VerbatimChar"/>
              </w:rPr>
              <w:t xml:space="preserve">BASE_wavefront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C_TAU_087_wavefront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M_gauss_shock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T3_theories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I_coupling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theory_taxonomy</w:t>
            </w:r>
            <w:r>
              <w:t xml:space="preserve"> </w:t>
            </w:r>
            <w:r>
              <w:t xml:space="preserve">schematic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spatial_convergence</w:t>
            </w:r>
            <w:r>
              <w:t xml:space="preserve">, convergence master figures (</w:t>
            </w:r>
            <w:r>
              <w:rPr>
                <w:rStyle w:val="VerbatimChar"/>
              </w:rPr>
              <w:t xml:space="preserve">conv_*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ls_wave_validation_R1</w:t>
            </w:r>
            <w:r>
              <w:t xml:space="preserve">, validation figures from</w:t>
            </w:r>
            <w:r>
              <w:t xml:space="preserve"> </w:t>
            </w:r>
            <w:r>
              <w:rPr>
                <w:rStyle w:val="VerbatimChar"/>
              </w:rPr>
              <w:t xml:space="preserve">figures_validation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DQM_nodes_schematic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solution_flowchart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b351ce3889275ca402886ecb4f1435b16cf5f91"/>
    <w:p>
      <w:pPr>
        <w:pStyle w:val="Heading2"/>
      </w:pPr>
      <w:r>
        <w:t xml:space="preserve">Suggested sequence and realistic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Finish and submit</w:t>
            </w:r>
            <w:r>
              <w:t xml:space="preserve"> </w:t>
            </w:r>
            <w:r>
              <w:rPr>
                <w:b/>
                <w:bCs/>
              </w:rPr>
              <w:t xml:space="preserve">Paper 1</w:t>
            </w:r>
          </w:p>
        </w:tc>
        <w:tc>
          <w:tcPr/>
          <w:p>
            <w:pPr>
              <w:pStyle w:val="Compact"/>
            </w:pPr>
            <w:r>
              <w:t xml:space="preserve">Highest-impact, strongest novelty; establishes the citable formulation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3</w:t>
            </w:r>
            <w:r>
              <w:t xml:space="preserve"> </w:t>
            </w:r>
            <w:r>
              <w:t xml:space="preserve">while Paper 1 is under review</w:t>
            </w:r>
          </w:p>
        </w:tc>
        <w:tc>
          <w:tcPr/>
          <w:p>
            <w:pPr>
              <w:pStyle w:val="Compact"/>
            </w:pPr>
            <w:r>
              <w:t xml:space="preserve">Least dependent on Paper 1’s fate; the benchmark stands alone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2</w:t>
            </w:r>
            <w:r>
              <w:t xml:space="preserve"> </w:t>
            </w:r>
            <w:r>
              <w:t xml:space="preserve">last</w:t>
            </w:r>
          </w:p>
        </w:tc>
        <w:tc>
          <w:tcPr/>
          <w:p>
            <w:pPr>
              <w:pStyle w:val="Compact"/>
            </w:pPr>
            <w:r>
              <w:t xml:space="preserve">Cites both; benefits from any referee feedback on the formulation</w:t>
            </w:r>
          </w:p>
        </w:tc>
      </w:tr>
    </w:tbl>
    <w:p>
      <w:pPr>
        <w:pStyle w:val="BodyText"/>
      </w:pPr>
      <w:r>
        <w:t xml:space="preserve">Submitting all three simultaneously is not advised — if a referee of one discovers the</w:t>
      </w:r>
      <w:r>
        <w:t xml:space="preserve"> </w:t>
      </w:r>
      <w:r>
        <w:t xml:space="preserve">other two independently, the overlap question is asked in the worst possible way.</w:t>
      </w:r>
    </w:p>
    <w:p>
      <w:r>
        <w:pict>
          <v:rect style="width:0;height:1.5pt" o:hralign="center" o:hrstd="t" o:hr="t"/>
        </w:pict>
      </w:r>
    </w:p>
    <w:bookmarkEnd w:id="15"/>
    <w:bookmarkStart w:id="16" w:name="open-decisions-for-the-author"/>
    <w:p>
      <w:pPr>
        <w:pStyle w:val="Heading2"/>
      </w:pPr>
      <w:r>
        <w:t xml:space="preserve">Open decisions for the author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Authorship and order</w:t>
      </w:r>
      <w:r>
        <w:t xml:space="preserve"> </w:t>
      </w:r>
      <w:r>
        <w:t xml:space="preserve">— supervisors’ names and the order have to be settled with them</w:t>
      </w:r>
      <w:r>
        <w:t xml:space="preserve"> </w:t>
      </w:r>
      <w:r>
        <w:t xml:space="preserve">before anything is submitted. The drafts carry a placeholder byline.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Which journal to try first for Paper 1</w:t>
      </w:r>
      <w:r>
        <w:t xml:space="preserve"> </w:t>
      </w:r>
      <w:r>
        <w:t xml:space="preserve">— Composite Structures and IJPVP imply</w:t>
      </w:r>
      <w:r>
        <w:t xml:space="preserve"> </w:t>
      </w:r>
      <w:r>
        <w:t xml:space="preserve">slightly different framings (composite-design vs. pressure-vessel). The draft is written</w:t>
      </w:r>
      <w:r>
        <w:t xml:space="preserve"> </w:t>
      </w:r>
      <w:r>
        <w:t xml:space="preserve">toward Composite Structures; switching to IJPVP means foregrounding the thick-wall and</w:t>
      </w:r>
      <w:r>
        <w:t xml:space="preserve"> </w:t>
      </w:r>
      <w:r>
        <w:t xml:space="preserve">pressure aspects.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Whether the τ0 values used should be defended as physical or presented as</w:t>
      </w:r>
      <w:r>
        <w:rPr>
          <w:b/>
          <w:bCs/>
        </w:rPr>
        <w:t xml:space="preserve"> </w:t>
      </w:r>
      <w:r>
        <w:rPr>
          <w:b/>
          <w:bCs/>
        </w:rPr>
        <w:t xml:space="preserve">parametric.</w:t>
      </w:r>
      <w:r>
        <w:t xml:space="preserve"> </w:t>
      </w:r>
      <w:r>
        <w:t xml:space="preserve">The exaggerated relaxation times make the wave visible but are far above</w:t>
      </w:r>
      <w:r>
        <w:t xml:space="preserve"> </w:t>
      </w:r>
      <w:r>
        <w:t xml:space="preserve">measured values for polymer composites; the drafts currently present them explicitly as</w:t>
      </w:r>
      <w:r>
        <w:t xml:space="preserve"> </w:t>
      </w:r>
      <w:r>
        <w:t xml:space="preserve">a parametric device, which is the honest framing, but a referee will still raise it and</w:t>
      </w:r>
      <w:r>
        <w:t xml:space="preserve"> </w:t>
      </w:r>
      <w:r>
        <w:t xml:space="preserve">it is worth having the answer ready.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2026-09-26T19:21:07Z</dcterms:created>
  <dcterms:modified xsi:type="dcterms:W3CDTF">2026-09-26T19:21:07Z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ltr</vt:lpwstr>
  </property>
</Properties>
</file>