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f0557c5cfe34de874c2f8e72d301619dda0a38a"/>
    <w:p>
      <w:pPr>
        <w:pStyle w:val="Heading1"/>
      </w:pPr>
      <w:r>
        <w:t xml:space="preserve">Chapter 5: Conclusions and Recommendations</w:t>
      </w:r>
    </w:p>
    <w:bookmarkStart w:id="9" w:name="introduction"/>
    <w:p>
      <w:pPr>
        <w:pStyle w:val="Heading2"/>
      </w:pPr>
      <w:r>
        <w:t xml:space="preserve">5-1. Introduction</w:t>
      </w:r>
    </w:p>
    <w:p>
      <w:pPr>
        <w:pStyle w:val="FirstParagraph"/>
      </w:pPr>
      <w:r>
        <w:t xml:space="preserve">In this thesis, the transient thermoelastic behavior of a multilayer porous</w:t>
      </w:r>
      <w:r>
        <w:t xml:space="preserve"> </w:t>
      </w:r>
      <w:r>
        <w:t xml:space="preserve">GPL-reinforced hollow cylinder under thermo-mechanical loading was solved in</w:t>
      </w:r>
      <w:r>
        <w:t xml:space="preserve"> </w:t>
      </w:r>
      <w:r>
        <w:t xml:space="preserve">fully coupled form, based on the generalized Lord-Shulman theory, using the</w:t>
      </w:r>
      <w:r>
        <w:t xml:space="preserve"> </w:t>
      </w:r>
      <w:r>
        <w:t xml:space="preserve">layerwise differential quadrature method in space and Newmark integration in</w:t>
      </w:r>
      <w:r>
        <w:t xml:space="preserve"> </w:t>
      </w:r>
      <w:r>
        <w:t xml:space="preserve">time. The developed solver was verified through five independent tests and its</w:t>
      </w:r>
      <w:r>
        <w:t xml:space="preserve"> </w:t>
      </w:r>
      <w:r>
        <w:t xml:space="preserve">convergence with respect to the number of layers and the spatial discretization</w:t>
      </w:r>
      <w:r>
        <w:t xml:space="preserve"> </w:t>
      </w:r>
      <w:r>
        <w:t xml:space="preserve">was established; an extensive set of parametric studies and three extension</w:t>
      </w:r>
      <w:r>
        <w:t xml:space="preserve"> </w:t>
      </w:r>
      <w:r>
        <w:t xml:space="preserve">studies were then carried out. This chapter summarizes the main findings, the</w:t>
      </w:r>
      <w:r>
        <w:t xml:space="preserve"> </w:t>
      </w:r>
      <w:r>
        <w:t xml:space="preserve">contributions, and the recommendations for future work.</w:t>
      </w:r>
    </w:p>
    <w:bookmarkEnd w:id="9"/>
    <w:bookmarkStart w:id="10" w:name="main-findings"/>
    <w:p>
      <w:pPr>
        <w:pStyle w:val="Heading2"/>
      </w:pPr>
      <w:r>
        <w:t xml:space="preserve">5-2. Main findings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Thermal wave and temperature overshoot.</w:t>
      </w:r>
      <w:r>
        <w:t xml:space="preserve"> </w:t>
      </w:r>
      <w:r>
        <w:t xml:space="preserve">Unlike classical Fourier</w:t>
      </w:r>
      <w:r>
        <w:t xml:space="preserve"> </w:t>
      </w:r>
      <w:r>
        <w:t xml:space="preserve">conduction, in which the mid-wall temperature never exceeds the driving</w:t>
      </w:r>
      <w:r>
        <w:t xml:space="preserve"> </w:t>
      </w:r>
      <w:r>
        <w:t xml:space="preserve">value, the Lord-Shulman theory permits a temperature overshoot (above unity)</w:t>
      </w:r>
      <w:r>
        <w:t xml:space="preserve"> </w:t>
      </w:r>
      <w:r>
        <w:t xml:space="preserve">because of its finite wave-propagation speed. In the reference case the peak</w:t>
      </w:r>
      <w:r>
        <w:t xml:space="preserve"> </w:t>
      </w:r>
      <w:r>
        <w:t xml:space="preserve">mid-wall temperature is 0.926 and does not exceed unity, but a genuine</w:t>
      </w:r>
      <w:r>
        <w:t xml:space="preserve"> </w:t>
      </w:r>
      <w:r>
        <w:t xml:space="preserve">overshoot appears in cases such as porosity pattern V (1.109) and a high GPL</w:t>
      </w:r>
      <w:r>
        <w:t xml:space="preserve"> </w:t>
      </w:r>
      <w:r>
        <w:t xml:space="preserve">weight fraction (up to 1.115). The temperature histories show the</w:t>
      </w:r>
      <w:r>
        <w:t xml:space="preserve"> </w:t>
      </w:r>
      <w:r>
        <w:t xml:space="preserve">characteristic</w:t>
      </w:r>
      <w:r>
        <w:t xml:space="preserve"> </w:t>
      </w:r>
      <w:r>
        <w:t xml:space="preserve">“peak-trough”</w:t>
      </w:r>
      <w:r>
        <w:t xml:space="preserve"> </w:t>
      </w:r>
      <w:r>
        <w:t xml:space="preserve">shape produced by the wave travelling back and</w:t>
      </w:r>
      <w:r>
        <w:t xml:space="preserve"> </w:t>
      </w:r>
      <w:r>
        <w:t xml:space="preserve">forth and reflecting from the outer surface, a phenomenon decisive in</w:t>
      </w:r>
      <w:r>
        <w:t xml:space="preserve"> </w:t>
      </w:r>
      <w:r>
        <w:t xml:space="preserve">short-time analyses.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GPL distribution pattern.</w:t>
      </w:r>
      <w:r>
        <w:t xml:space="preserve"> </w:t>
      </w:r>
      <w:r>
        <w:t xml:space="preserve">Placing the conductive platelets at the heated</w:t>
      </w:r>
      <w:r>
        <w:t xml:space="preserve"> </w:t>
      </w:r>
      <w:r>
        <w:t xml:space="preserve">inner surface (pattern V) gives the most favorable behavior, lowering the</w:t>
      </w:r>
      <w:r>
        <w:t xml:space="preserve"> </w:t>
      </w:r>
      <w:r>
        <w:t xml:space="preserve">peak temperature by about 29 % relative to the uniform case and the</w:t>
      </w:r>
      <w:r>
        <w:t xml:space="preserve"> </w:t>
      </w:r>
      <w:r>
        <w:t xml:space="preserve">inner-surface hoop stress by about 3 times. Pattern A is the mirror image</w:t>
      </w:r>
      <w:r>
        <w:t xml:space="preserve"> </w:t>
      </w:r>
      <w:r>
        <w:t xml:space="preserve">of V and the worst case in all three quantities (temperature, stress and</w:t>
      </w:r>
      <w:r>
        <w:t xml:space="preserve"> </w:t>
      </w:r>
      <w:r>
        <w:t xml:space="preserve">displacement).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Porosity pattern and level.</w:t>
      </w:r>
      <w:r>
        <w:t xml:space="preserve"> </w:t>
      </w:r>
      <w:r>
        <w:t xml:space="preserve">Porosity pattern A, concentrating the pores</w:t>
      </w:r>
      <w:r>
        <w:t xml:space="preserve"> </w:t>
      </w:r>
      <w:r>
        <w:t xml:space="preserve">at the outer surface, acts as a</w:t>
      </w:r>
      <w:r>
        <w:t xml:space="preserve"> </w:t>
      </w:r>
      <w:r>
        <w:t xml:space="preserve">“thermal barrier”</w:t>
      </w:r>
      <w:r>
        <w:t xml:space="preserve"> </w:t>
      </w:r>
      <w:r>
        <w:t xml:space="preserve">and reduces the</w:t>
      </w:r>
      <w:r>
        <w:t xml:space="preserve"> </w:t>
      </w:r>
      <w:r>
        <w:t xml:space="preserve">outer-surface temperature by about 8 times, but it also reverses the sign</w:t>
      </w:r>
      <w:r>
        <w:t xml:space="preserve"> </w:t>
      </w:r>
      <w:r>
        <w:t xml:space="preserve">of the inner-surface hoop stress. Pattern V concentrates the pores at the</w:t>
      </w:r>
      <w:r>
        <w:t xml:space="preserve"> </w:t>
      </w:r>
      <w:r>
        <w:t xml:space="preserve">inner surface and produces the largest transient peak of the group (1.11).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Synergetic GPL-porosity interaction.</w:t>
      </w:r>
      <w:r>
        <w:t xml:space="preserve"> </w:t>
      </w:r>
      <w:r>
        <w:t xml:space="preserve">Combining GPL-V (conductive facing</w:t>
      </w:r>
      <w:r>
        <w:t xml:space="preserve"> </w:t>
      </w:r>
      <w:r>
        <w:t xml:space="preserve">the heat source) with porosity-A (insulating facing the environment) is</w:t>
      </w:r>
      <w:r>
        <w:t xml:space="preserve"> </w:t>
      </w:r>
      <w:r>
        <w:t xml:space="preserve">synergetic and reduces the outer-surface temperature by about</w:t>
      </w:r>
      <w:r>
        <w:t xml:space="preserve"> </w:t>
      </w:r>
      <w:r>
        <w:rPr>
          <w:b/>
          <w:bCs/>
        </w:rPr>
        <w:t xml:space="preserve">26-fold</w:t>
      </w:r>
      <w:r>
        <w:t xml:space="preserve"> </w:t>
      </w:r>
      <w:r>
        <w:t xml:space="preserve">at a benign stress level; this combination is the design recommendation of</w:t>
      </w:r>
      <w:r>
        <w:t xml:space="preserve"> </w:t>
      </w:r>
      <w:r>
        <w:t xml:space="preserve">this work for thermal-protection applications. The complete 5×5 matrix showed</w:t>
      </w:r>
      <w:r>
        <w:t xml:space="preserve"> </w:t>
      </w:r>
      <w:r>
        <w:t xml:space="preserve">that the mirror patterns V and A can be synergetic (GPL-V with porosity-A →</w:t>
      </w:r>
      <w:r>
        <w:t xml:space="preserve"> </w:t>
      </w:r>
      <w:r>
        <w:t xml:space="preserve">0.034) or cancelling (GPL-V with porosity-V → 0.692), so the alignment or</w:t>
      </w:r>
      <w:r>
        <w:t xml:space="preserve"> </w:t>
      </w:r>
      <w:r>
        <w:t xml:space="preserve">opposition of the two patterns is decisive.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Weight fraction and percolation threshold.</w:t>
      </w:r>
      <w:r>
        <w:t xml:space="preserve"> </w:t>
      </w:r>
      <w:r>
        <w:t xml:space="preserve">A percolation threshold near a</w:t>
      </w:r>
      <w:r>
        <w:t xml:space="preserve"> </w:t>
      </w:r>
      <w:r>
        <w:t xml:space="preserve">1 % weight fraction switches the wall from a</w:t>
      </w:r>
      <w:r>
        <w:t xml:space="preserve"> </w:t>
      </w:r>
      <w:r>
        <w:t xml:space="preserve">“thermal insulator”</w:t>
      </w:r>
      <w:r>
        <w:t xml:space="preserve"> </w:t>
      </w:r>
      <w:r>
        <w:t xml:space="preserve">to a</w:t>
      </w:r>
      <w:r>
        <w:t xml:space="preserve"> </w:t>
      </w:r>
      <w:r>
        <w:t xml:space="preserve">“thermal conductor”</w:t>
      </w:r>
      <w:r>
        <w:t xml:space="preserve">; adding graphene beyond that improves the thermal</w:t>
      </w:r>
      <w:r>
        <w:t xml:space="preserve"> </w:t>
      </w:r>
      <w:r>
        <w:t xml:space="preserve">penetration only smoothly but mainly raises the thermal stresses (the stress</w:t>
      </w:r>
      <w:r>
        <w:t xml:space="preserve"> </w:t>
      </w:r>
      <w:r>
        <w:t xml:space="preserve">doubles at 8 %).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Platelet aspect ratios.</w:t>
      </w:r>
      <w:r>
        <w:t xml:space="preserve"> </w:t>
      </w:r>
      <w:r>
        <w:t xml:space="preserve">The two ratios behave quite differently. The</w:t>
      </w:r>
      <w:r>
        <w:t xml:space="preserve"> </w:t>
      </w:r>
      <w:r>
        <w:t xml:space="preserve">length-to-width ratio acts monotonically but saturates: raising it from 1 to</w:t>
      </w:r>
      <w:r>
        <w:t xml:space="preserve"> </w:t>
      </w:r>
      <w:r>
        <w:t xml:space="preserve">10 lifts the peak mid-point temperature only from 0.898 to 0.951, most of</w:t>
      </w:r>
      <w:r>
        <w:t xml:space="preserve"> </w:t>
      </w:r>
      <w:r>
        <w:t xml:space="preserve">that in the first step, so that from a ratio of 4 upward the curves</w:t>
      </w:r>
      <w:r>
        <w:t xml:space="preserve"> </w:t>
      </w:r>
      <w:r>
        <w:t xml:space="preserve">practically coincide. The width-to-thickness ratio, by contrast, is a</w:t>
      </w:r>
      <w:r>
        <w:t xml:space="preserve"> </w:t>
      </w:r>
      <w:r>
        <w:t xml:space="preserve">threshold lever rather than a weak one: the conducting platelet network forms</w:t>
      </w:r>
      <w:r>
        <w:t xml:space="preserve"> </w:t>
      </w:r>
      <w:r>
        <w:t xml:space="preserve">only once the volume fraction exceeds the inverse of the length-to-thickness</w:t>
      </w:r>
      <w:r>
        <w:t xml:space="preserve"> </w:t>
      </w:r>
      <w:r>
        <w:t xml:space="preserve">ratio, which at the reference weight fraction means a width-to-thickness</w:t>
      </w:r>
      <w:r>
        <w:t xml:space="preserve"> </w:t>
      </w:r>
      <w:r>
        <w:t xml:space="preserve">ratio above about 177. Below that threshold the effective conductivity falls</w:t>
      </w:r>
      <w:r>
        <w:t xml:space="preserve"> </w:t>
      </w:r>
      <w:r>
        <w:t xml:space="preserve">back to that of the graphene-free porous matrix and the thermal wave does not</w:t>
      </w:r>
      <w:r>
        <w:t xml:space="preserve"> </w:t>
      </w:r>
      <w:r>
        <w:t xml:space="preserve">reach mid-wall within the time window of the problem. The stiffness,</w:t>
      </w:r>
      <w:r>
        <w:t xml:space="preserve"> </w:t>
      </w:r>
      <w:r>
        <w:t xml:space="preserve">however, still varies continuously with the same ratio, so two sub-threshold</w:t>
      </w:r>
      <w:r>
        <w:t xml:space="preserve"> </w:t>
      </w:r>
      <w:r>
        <w:t xml:space="preserve">cases separate mechanically even though their temperature fields are</w:t>
      </w:r>
      <w:r>
        <w:t xml:space="preserve"> </w:t>
      </w:r>
      <w:r>
        <w:t xml:space="preserve">identical.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Coupling of the equations.</w:t>
      </w:r>
      <w:r>
        <w:t xml:space="preserve"> </w:t>
      </w:r>
      <w:r>
        <w:t xml:space="preserve">The fully coupled solution damps the thermal</w:t>
      </w:r>
      <w:r>
        <w:t xml:space="preserve"> </w:t>
      </w:r>
      <w:r>
        <w:t xml:space="preserve">wave by about 1 % (thermoelastic damping); uncoupled models are</w:t>
      </w:r>
      <w:r>
        <w:t xml:space="preserve"> </w:t>
      </w:r>
      <w:r>
        <w:t xml:space="preserve">non-conservative exactly at the wave fronts.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Internal pressure and supports.</w:t>
      </w:r>
      <w:r>
        <w:t xml:space="preserve"> </w:t>
      </w:r>
      <w:r>
        <w:t xml:space="preserve">The internal pressure is a second-order</w:t>
      </w:r>
      <w:r>
        <w:t xml:space="preserve"> </w:t>
      </w:r>
      <w:r>
        <w:t xml:space="preserve">effect at small engineering magnitude, but in the 70–100 MPa range it becomes</w:t>
      </w:r>
      <w:r>
        <w:t xml:space="preserve"> </w:t>
      </w:r>
      <w:r>
        <w:t xml:space="preserve">a genuine secondary effect (up to about 50 % of the inner hoop stress); the</w:t>
      </w:r>
      <w:r>
        <w:t xml:space="preserve"> </w:t>
      </w:r>
      <w:r>
        <w:t xml:space="preserve">response nonetheless remains thermally dominated and, in the present linear</w:t>
      </w:r>
      <w:r>
        <w:t xml:space="preserve"> </w:t>
      </w:r>
      <w:r>
        <w:t xml:space="preserve">model, no discontinuity occurs up to 100 MPa. Clamped supports, by blocking</w:t>
      </w:r>
      <w:r>
        <w:t xml:space="preserve"> </w:t>
      </w:r>
      <w:r>
        <w:t xml:space="preserve">axial expansion, reduce the peak mid-length radial displacement by about</w:t>
      </w:r>
      <w:r>
        <w:t xml:space="preserve"> </w:t>
      </w:r>
      <w:r>
        <w:t xml:space="preserve">9 %; support effects are localized at the ends, and as the cylinder</w:t>
      </w:r>
      <w:r>
        <w:t xml:space="preserve"> </w:t>
      </w:r>
      <w:r>
        <w:t xml:space="preserve">lengthens the mid-length response converges to the infinite-length limit.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Impulsive thermal shock.</w:t>
      </w:r>
      <w:r>
        <w:t xml:space="preserve"> </w:t>
      </w:r>
      <w:r>
        <w:t xml:space="preserve">Under a Gaussian pulse, the classical theory</w:t>
      </w:r>
      <w:r>
        <w:t xml:space="preserve"> </w:t>
      </w:r>
      <w:r>
        <w:t xml:space="preserve">underestimates the peak temperature by about</w:t>
      </w:r>
      <w:r>
        <w:t xml:space="preserve"> </w:t>
      </w:r>
      <w:r>
        <w:rPr>
          <w:b/>
          <w:bCs/>
        </w:rPr>
        <w:t xml:space="preserve">2.5 times</w:t>
      </w:r>
      <w:r>
        <w:t xml:space="preserve"> </w:t>
      </w:r>
      <w:r>
        <w:t xml:space="preserve">— one of the</w:t>
      </w:r>
      <w:r>
        <w:t xml:space="preserve"> </w:t>
      </w:r>
      <w:r>
        <w:t xml:space="preserve">strongest arguments of this work in favor of the generalized theory.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Methodological findings.</w:t>
      </w:r>
      <w:r>
        <w:t xml:space="preserve"> </w:t>
      </w:r>
      <w:r>
        <w:t xml:space="preserve">Newmark offers the best accuracy-to-cost ratio</w:t>
      </w:r>
      <w:r>
        <w:t xml:space="preserve"> </w:t>
      </w:r>
      <w:r>
        <w:t xml:space="preserve">of the six tested integrators; differential quadrature needs about 15 times</w:t>
      </w:r>
      <w:r>
        <w:t xml:space="preserve"> </w:t>
      </w:r>
      <w:r>
        <w:t xml:space="preserve">fewer points per direction than finite differences or linear finite</w:t>
      </w:r>
      <w:r>
        <w:t xml:space="preserve"> </w:t>
      </w:r>
      <w:r>
        <w:t xml:space="preserve">elements; and the four-theory map (Fourier / Lord-Shulman / DPL /</w:t>
      </w:r>
      <w:r>
        <w:t xml:space="preserve"> </w:t>
      </w:r>
      <w:r>
        <w:t xml:space="preserve">Green-Naghdi) charts where the theories diverge (the DPL degeneracy at</w:t>
      </w:r>
      <w: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τ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and the persistent Green-Naghdi overshoot).</w:t>
      </w:r>
    </w:p>
    <w:bookmarkEnd w:id="10"/>
    <w:bookmarkStart w:id="11" w:name="contributions"/>
    <w:p>
      <w:pPr>
        <w:pStyle w:val="Heading2"/>
      </w:pPr>
      <w:r>
        <w:t xml:space="preserve">5-3. Contributions</w:t>
      </w:r>
    </w:p>
    <w:p>
      <w:pPr>
        <w:pStyle w:val="Compact"/>
        <w:numPr>
          <w:ilvl w:val="0"/>
          <w:numId w:val="1002"/>
        </w:numPr>
      </w:pPr>
      <w:r>
        <w:t xml:space="preserve">A fully coupled Lord-Shulman thermoelastic solution for the multilayer porous</w:t>
      </w:r>
      <w:r>
        <w:t xml:space="preserve"> </w:t>
      </w:r>
      <w:r>
        <w:t xml:space="preserve">GPL-reinforced cylinder by a two-dimensional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layerwise differential</w:t>
      </w:r>
      <w:r>
        <w:t xml:space="preserve"> </w:t>
      </w:r>
      <w:r>
        <w:t xml:space="preserve">quadrature method.</w:t>
      </w:r>
    </w:p>
    <w:p>
      <w:pPr>
        <w:pStyle w:val="Compact"/>
        <w:numPr>
          <w:ilvl w:val="0"/>
          <w:numId w:val="1002"/>
        </w:numPr>
      </w:pPr>
      <w:r>
        <w:t xml:space="preserve">Identification of the synergetic interaction of the GPL-V and porosity-A</w:t>
      </w:r>
      <w:r>
        <w:t xml:space="preserve"> </w:t>
      </w:r>
      <w:r>
        <w:t xml:space="preserve">patterns and presentation of the complete 5×5 interaction matrix, which has no</w:t>
      </w:r>
      <w:r>
        <w:t xml:space="preserve"> </w:t>
      </w:r>
      <w:r>
        <w:t xml:space="preserve">counterpart in previous references.</w:t>
      </w:r>
    </w:p>
    <w:p>
      <w:pPr>
        <w:pStyle w:val="Compact"/>
        <w:numPr>
          <w:ilvl w:val="0"/>
          <w:numId w:val="1002"/>
        </w:numPr>
      </w:pPr>
      <w:r>
        <w:t xml:space="preserve">Reporting the</w:t>
      </w:r>
      <w:r>
        <w:t xml:space="preserve"> </w:t>
      </w:r>
      <w:r>
        <w:t xml:space="preserve">“peak-trough”</w:t>
      </w:r>
      <w:r>
        <w:t xml:space="preserve"> </w:t>
      </w:r>
      <w:r>
        <w:t xml:space="preserve">and mirror behavior of the patterns and linking it</w:t>
      </w:r>
      <w:r>
        <w:t xml:space="preserve"> </w:t>
      </w:r>
      <w:r>
        <w:t xml:space="preserve">to the wave-like nature of the conduction.</w:t>
      </w:r>
    </w:p>
    <w:p>
      <w:pPr>
        <w:pStyle w:val="Compact"/>
        <w:numPr>
          <w:ilvl w:val="0"/>
          <w:numId w:val="1002"/>
        </w:numPr>
      </w:pPr>
      <w:r>
        <w:t xml:space="preserve">Three methodological extension studies: a comparison of six time integrators,</w:t>
      </w:r>
      <w:r>
        <w:t xml:space="preserve"> </w:t>
      </w:r>
      <w:r>
        <w:t xml:space="preserve">four spatial discretizations (including linear/quadratic Galerkin finite</w:t>
      </w:r>
      <w:r>
        <w:t xml:space="preserve"> </w:t>
      </w:r>
      <w:r>
        <w:t xml:space="preserve">elements) and four thermoelasticity theories with matched parameters.</w:t>
      </w:r>
    </w:p>
    <w:bookmarkEnd w:id="11"/>
    <w:bookmarkStart w:id="12" w:name="limitations-of-the-study"/>
    <w:p>
      <w:pPr>
        <w:pStyle w:val="Heading2"/>
      </w:pPr>
      <w:r>
        <w:t xml:space="preserve">5-4. Limitations of the study</w:t>
      </w:r>
    </w:p>
    <w:p>
      <w:pPr>
        <w:pStyle w:val="FirstParagraph"/>
      </w:pPr>
      <w:r>
        <w:t xml:space="preserve">As with any numerical study, this work was carried out within a specific set of</w:t>
      </w:r>
      <w:r>
        <w:t xml:space="preserve"> </w:t>
      </w:r>
      <w:r>
        <w:t xml:space="preserve">assumptions and boundaries that should be kept in mind when interpreting or</w:t>
      </w:r>
      <w:r>
        <w:t xml:space="preserve"> </w:t>
      </w:r>
      <w:r>
        <w:t xml:space="preserve">generalizing the results: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 elastic model, no damage/failure criterion.</w:t>
      </w:r>
      <w:r>
        <w:t xml:space="preserve"> </w:t>
      </w:r>
      <w:r>
        <w:t xml:space="preserve">Stresses and</w:t>
      </w:r>
      <w:r>
        <w:t xml:space="preserve"> </w:t>
      </w:r>
      <w:r>
        <w:t xml:space="preserve">displacements throughout this work — including under large loads such as a</w:t>
      </w:r>
      <w:r>
        <w:t xml:space="preserve"> </w:t>
      </w:r>
      <w:r>
        <w:t xml:space="preserve">100 MPa internal pressure or an impulsive thermal shock — are reported under</w:t>
      </w:r>
      <w:r>
        <w:t xml:space="preserve"> </w:t>
      </w:r>
      <w:r>
        <w:t xml:space="preserve">the linear-elasticity assumption. The model has no yield, cracking, or</w:t>
      </w:r>
      <w:r>
        <w:t xml:space="preserve"> </w:t>
      </w:r>
      <w:r>
        <w:t xml:space="preserve">interlayer-separation criterion; under very large loads, the results should</w:t>
      </w:r>
      <w:r>
        <w:t xml:space="preserve"> </w:t>
      </w:r>
      <w:r>
        <w:t xml:space="preserve">therefore be read as the mathematical extrapolation of a linear model, not a</w:t>
      </w:r>
      <w:r>
        <w:t xml:space="preserve"> </w:t>
      </w:r>
      <w:r>
        <w:t xml:space="preserve">prediction of actual material failure.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Temperature-independent material properties.</w:t>
      </w:r>
      <w:r>
        <w:t xml:space="preserve"> </w:t>
      </w:r>
      <w:r>
        <w:t xml:space="preserve">Young’s modulus, thermal</w:t>
      </w:r>
      <w:r>
        <w:t xml:space="preserve"> </w:t>
      </w:r>
      <w:r>
        <w:t xml:space="preserve">conductivity, the thermal expansion coefficient, and specific heat are held</w:t>
      </w:r>
      <w:r>
        <w:t xml:space="preserve"> </w:t>
      </w:r>
      <w:r>
        <w:t xml:space="preserve">constant throughout the solution, while the reference loading takes the</w:t>
      </w:r>
      <w:r>
        <w:t xml:space="preserve"> </w:t>
      </w:r>
      <w:r>
        <w:t xml:space="preserve">inner-surface temperature from 300 to 600 K; over this range, the real</w:t>
      </w:r>
      <w:r>
        <w:t xml:space="preserve"> </w:t>
      </w:r>
      <w:r>
        <w:t xml:space="preserve">temperature-dependence of the material properties is not negligible.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Isotropic homogenization of the composite layer.</w:t>
      </w:r>
      <w:r>
        <w:t xml:space="preserve"> </w:t>
      </w:r>
      <w:r>
        <w:t xml:space="preserve">The elastic matrix of the</w:t>
      </w:r>
      <w:r>
        <w:t xml:space="preserve"> </w:t>
      </w:r>
      <w:r>
        <w:t xml:space="preserve">GPL-matrix layer is reduced to a single effective isotropic modulus via the</w:t>
      </w:r>
      <w:r>
        <w:t xml:space="preserve"> </w:t>
      </w:r>
      <w:r>
        <w:t xml:space="preserve">Halpin-Tsai average (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8</m:t>
            </m:r>
          </m:den>
        </m:f>
        <m:sSub>
          <m:e>
            <m:r>
              <m:t>E</m:t>
            </m:r>
          </m:e>
          <m:sub>
            <m:r>
              <m:t>L</m:t>
            </m:r>
          </m:sub>
        </m:sSub>
        <m:r>
          <m:rPr>
            <m:sty m:val="p"/>
          </m:rPr>
          <m:t>+</m:t>
        </m:r>
        <m:f>
          <m:fPr>
            <m:type m:val="lin"/>
          </m:fPr>
          <m:num>
            <m:r>
              <m:t>5</m:t>
            </m:r>
          </m:num>
          <m:den>
            <m:r>
              <m:t>8</m:t>
            </m:r>
          </m:den>
        </m:f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); a real nanocomposite</w:t>
      </w:r>
      <w:r>
        <w:t xml:space="preserve"> </w:t>
      </w:r>
      <w:r>
        <w:t xml:space="preserve">sheet is inherently transversely isotropic, and this simplification can shift</w:t>
      </w:r>
      <w:r>
        <w:t xml:space="preserve"> </w:t>
      </w:r>
      <w:r>
        <w:t xml:space="preserve">the axial response somewhat.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Ideal layer-to-layer bonding.</w:t>
      </w:r>
      <w:r>
        <w:t xml:space="preserve"> </w:t>
      </w:r>
      <w:r>
        <w:t xml:space="preserve">Interfaces between layers enforce full</w:t>
      </w:r>
      <w:r>
        <w:t xml:space="preserve"> </w:t>
      </w:r>
      <w:r>
        <w:t xml:space="preserve">continuity of temperature, flux, displacement, and traction; the thermal and</w:t>
      </w:r>
      <w:r>
        <w:t xml:space="preserve"> </w:t>
      </w:r>
      <w:r>
        <w:t xml:space="preserve">mechanical contact resistance that is always present in a real layered</w:t>
      </w:r>
      <w:r>
        <w:t xml:space="preserve"> </w:t>
      </w:r>
      <w:r>
        <w:t xml:space="preserve">structure is not included in the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Qualitative validation of the wave-propagation core.</w:t>
      </w:r>
      <w:r>
        <w:t xml:space="preserve"> </w:t>
      </w:r>
      <w:r>
        <w:t xml:space="preserve">The central claim of</w:t>
      </w:r>
      <w:r>
        <w:t xml:space="preserve"> </w:t>
      </w:r>
      <w:r>
        <w:t xml:space="preserve">this work — the second-sound wave overshoot — is validated only qualitatively</w:t>
      </w:r>
      <w:r>
        <w:t xml:space="preserve"> </w:t>
      </w:r>
      <w:r>
        <w:t xml:space="preserve">(matching the trend of speed and reflection) against the Bagri and Eslami</w:t>
      </w:r>
      <w:r>
        <w:t xml:space="preserve"> </w:t>
      </w:r>
      <w:r>
        <w:t xml:space="preserve">results; no quantitative error metric is reported for this specific test.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Selected porosity patterns.</w:t>
      </w:r>
      <w:r>
        <w:t xml:space="preserve"> </w:t>
      </w:r>
      <w:r>
        <w:t xml:space="preserve">The porosity patterns used (UD, O, X, V, A)</w:t>
      </w:r>
      <w:r>
        <w:t xml:space="preserve"> </w:t>
      </w:r>
      <w:r>
        <w:t xml:space="preserve">were chosen based on the standard open-cell metal-foam model; this is a</w:t>
      </w:r>
      <w:r>
        <w:t xml:space="preserve"> </w:t>
      </w:r>
      <w:r>
        <w:t xml:space="preserve">deliberate modeling choice, not a complete representation of every possible</w:t>
      </w:r>
      <w:r>
        <w:t xml:space="preserve"> </w:t>
      </w:r>
      <w:r>
        <w:t xml:space="preserve">porous microstructure.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Geometric and loading scope.</w:t>
      </w:r>
      <w:r>
        <w:t xml:space="preserve"> </w:t>
      </w:r>
      <w:r>
        <w:t xml:space="preserve">The study is limited to a straight cylindrical</w:t>
      </w:r>
      <w:r>
        <w:t xml:space="preserve"> </w:t>
      </w:r>
      <w:r>
        <w:t xml:space="preserve">shell with simple/clamped/mixed supports and axisymmetric thermo-mechanical</w:t>
      </w:r>
      <w:r>
        <w:t xml:space="preserve"> </w:t>
      </w:r>
      <w:r>
        <w:t xml:space="preserve">loading; conical or rotating geometries, non-axisymmetric loading, and fully</w:t>
      </w:r>
      <w:r>
        <w:t xml:space="preserve"> </w:t>
      </w:r>
      <w:r>
        <w:t xml:space="preserve">three-dimensional effects lie outside the scope of this work.</w:t>
      </w:r>
    </w:p>
    <w:bookmarkEnd w:id="12"/>
    <w:bookmarkStart w:id="13" w:name="recommendations-for-future-work"/>
    <w:p>
      <w:pPr>
        <w:pStyle w:val="Heading2"/>
      </w:pPr>
      <w:r>
        <w:t xml:space="preserve">5-5. Recommendations for future work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Free/roller (F/R) supports:</w:t>
      </w:r>
      <w:r>
        <w:t xml:space="preserve"> </w:t>
      </w:r>
      <w:r>
        <w:t xml:space="preserve">a stable implementation of these supports and</w:t>
      </w:r>
      <w:r>
        <w:t xml:space="preserve"> </w:t>
      </w:r>
      <w:r>
        <w:t xml:space="preserve">the addition of a true plane-strain reference for a direct comparison with</w:t>
      </w:r>
      <w:r>
        <w:t xml:space="preserve"> </w:t>
      </w:r>
      <w:r>
        <w:t xml:space="preserve">the infinite-length limit.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Vectorized assembly:</w:t>
      </w:r>
      <w:r>
        <w:t xml:space="preserve"> </w:t>
      </w:r>
      <w:r>
        <w:t xml:space="preserve">rewriting the assembly loop in vectorized form to</w:t>
      </w:r>
      <w:r>
        <w:t xml:space="preserve"> </w:t>
      </w:r>
      <w:r>
        <w:t xml:space="preserve">reduce the computation time for larger grids and broader parametric studies.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Temperature-dependent material properties:</w:t>
      </w:r>
      <w:r>
        <w:t xml:space="preserve"> </w:t>
      </w:r>
      <w:r>
        <w:t xml:space="preserve">including the dependence of the</w:t>
      </w:r>
      <w:r>
        <w:t xml:space="preserve"> </w:t>
      </w:r>
      <w:r>
        <w:t xml:space="preserve">modulus, conductivity and expansion coefficient on temperature, which is</w:t>
      </w:r>
      <w:r>
        <w:t xml:space="preserve"> </w:t>
      </w:r>
      <w:r>
        <w:t xml:space="preserve">significant over the 300–600 K range.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Radiation boundary condition:</w:t>
      </w:r>
      <w:r>
        <w:t xml:space="preserve"> </w:t>
      </w:r>
      <w:r>
        <w:t xml:space="preserve">adding nonlinear radiative heat exchange at</w:t>
      </w:r>
      <w:r>
        <w:t xml:space="preserve"> </w:t>
      </w:r>
      <w:r>
        <w:t xml:space="preserve">the outer surface for high-temperature applications.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Damage/failure model:</w:t>
      </w:r>
      <w:r>
        <w:t xml:space="preserve"> </w:t>
      </w:r>
      <w:r>
        <w:t xml:space="preserve">since the present linear thermoelastic model shows</w:t>
      </w:r>
      <w:r>
        <w:t xml:space="preserve"> </w:t>
      </w:r>
      <w:r>
        <w:t xml:space="preserve">no discontinuity even at 100 MPa, adding a damage or failure model is</w:t>
      </w:r>
      <w:r>
        <w:t xml:space="preserve"> </w:t>
      </w:r>
      <w:r>
        <w:t xml:space="preserve">necessary to predict rupture (material failure/separation) under very high</w:t>
      </w:r>
      <w:r>
        <w:t xml:space="preserve"> </w:t>
      </w:r>
      <w:r>
        <w:t xml:space="preserve">loads.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Updated porosity patterns:</w:t>
      </w:r>
      <w:r>
        <w:t xml:space="preserve"> </w:t>
      </w:r>
      <w:r>
        <w:t xml:space="preserve">replacing the porosity patterns with the new</w:t>
      </w:r>
      <w:r>
        <w:t xml:space="preserve"> </w:t>
      </w:r>
      <w:r>
        <w:t xml:space="preserve">patterns of the reference file and re-running the porosity and interaction</w:t>
      </w:r>
      <w:r>
        <w:t xml:space="preserve"> </w:t>
      </w:r>
      <w:r>
        <w:t xml:space="preserve">studies.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Geometric and loading extensions:</w:t>
      </w:r>
      <w:r>
        <w:t xml:space="preserve"> </w:t>
      </w:r>
      <w:r>
        <w:t xml:space="preserve">functionally graded continuous</w:t>
      </w:r>
      <w:r>
        <w:t xml:space="preserve"> </w:t>
      </w:r>
      <w:r>
        <w:t xml:space="preserve">distributions, other platelet geometries, a rotating cylinder, and</w:t>
      </w:r>
      <w:r>
        <w:t xml:space="preserve"> </w:t>
      </w:r>
      <w:r>
        <w:t xml:space="preserve">three-dimensional effects.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Experimental validation:</w:t>
      </w:r>
      <w:r>
        <w:t xml:space="preserve"> </w:t>
      </w:r>
      <w:r>
        <w:t xml:space="preserve">fabricating physical specimens of the</w:t>
      </w:r>
      <w:r>
        <w:t xml:space="preserve"> </w:t>
      </w:r>
      <w:r>
        <w:t xml:space="preserve">multilayer porous GPL-reinforced cylinder and testing them under a real</w:t>
      </w:r>
      <w:r>
        <w:t xml:space="preserve"> </w:t>
      </w:r>
      <w:r>
        <w:t xml:space="preserve">thermal shock (e.g. laser or induction heating) to directly measure the</w:t>
      </w:r>
      <w:r>
        <w:t xml:space="preserve"> </w:t>
      </w:r>
      <w:r>
        <w:t xml:space="preserve">second-sound overshoot and quantitatively validate the model; also an</w:t>
      </w:r>
      <w:r>
        <w:t xml:space="preserve"> </w:t>
      </w:r>
      <w:r>
        <w:t xml:space="preserve">experimental measurement of the relaxation time</w:t>
      </w:r>
      <w: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this</w:t>
      </w:r>
      <w:r>
        <w:t xml:space="preserve"> </w:t>
      </w:r>
      <w:r>
        <w:t xml:space="preserve">specific material combination (via laser-flash or DSC methods), which is</w:t>
      </w:r>
      <w:r>
        <w:t xml:space="preserve"> </w:t>
      </w:r>
      <w:r>
        <w:t xml:space="preserve">currently only a theoretical parameter.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Applied design guidance:</w:t>
      </w:r>
      <w:r>
        <w:t xml:space="preserve"> </w:t>
      </w:r>
      <w:r>
        <w:t xml:space="preserve">translating this work’s design finding (the</w:t>
      </w:r>
      <w:r>
        <w:t xml:space="preserve"> </w:t>
      </w:r>
      <w:r>
        <w:t xml:space="preserve">GPL-V / porosity-A synergy) into a simple engineering selection chart or</w:t>
      </w:r>
      <w:r>
        <w:t xml:space="preserve"> </w:t>
      </w:r>
      <w:r>
        <w:t xml:space="preserve">table for designers of thermal-protection layers (e.g. nuclear-reactor</w:t>
      </w:r>
      <w:r>
        <w:t xml:space="preserve"> </w:t>
      </w:r>
      <w:r>
        <w:t xml:space="preserve">liners, hypersonic thermal-protection panels, industrial heat</w:t>
      </w:r>
      <w:r>
        <w:t xml:space="preserve"> </w:t>
      </w:r>
      <w:r>
        <w:t xml:space="preserve">exchangers), without needing to run the full solver for every case; and</w:t>
      </w:r>
      <w:r>
        <w:t xml:space="preserve"> </w:t>
      </w:r>
      <w:r>
        <w:t xml:space="preserve">a case study on standard industrial geometries (e.g. ASME dimensions) to</w:t>
      </w:r>
      <w:r>
        <w:t xml:space="preserve"> </w:t>
      </w:r>
      <w:r>
        <w:t xml:space="preserve">give directly usable numbers beyond the dimensionless reference case.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2026-10-05T16:49:06Z</dcterms:created>
  <dcterms:modified xsi:type="dcterms:W3CDTF">2026-10-05T16:49:06Z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