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6.xml" ContentType="application/vnd.openxmlformats-officedocument.wordprocessingml.footer+xml"/>
  <Override PartName="/word/footer5.xml" ContentType="application/vnd.openxmlformats-officedocument.wordprocessingml.footer+xml"/>
  <Override PartName="/word/footer4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media/image3.gif" ContentType="image/gif"/>
  <Override PartName="/word/media/image2.gif" ContentType="image/gif"/>
  <Override PartName="/word/media/image1.jpeg" ContentType="image/jpeg"/>
  <Override PartName="/word/media/image4.jpeg" ContentType="image/jpeg"/>
  <Override PartName="/word/media/image5.jpe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فصل-پنجم-نتیجهگیری-و-پیشنهادها"/>
    <w:p>
      <w:pPr>
        <w:pStyle w:val="Heading1"/>
        <w:bidi/>
      </w:pPr>
      <w:r>
        <w:rPr>
          <w:rtl/>
        </w:rPr>
        <w:t xml:space="preserve">فصل پنجم: نتیجه‌گیری و پیشنهادها</w:t>
      </w:r>
    </w:p>
    <w:bookmarkStart w:id="28" w:name="مقدمه"/>
    <w:p>
      <w:pPr>
        <w:pStyle w:val="Heading2"/>
        <w:bidi/>
      </w:pPr>
      <w:r>
        <w:rPr>
          <w:rtl/>
        </w:rPr>
        <w:t xml:space="preserve">5-1. مقدمه</w:t>
      </w:r>
    </w:p>
    <w:p>
      <w:pPr>
        <w:bidi/>
      </w:pPr>
      <w:r>
        <w:rPr>
          <w:rtl/>
        </w:rPr>
        <w:t xml:space="preserve">در این پایان‌نامه، رفتار ترموالاستیک گذرای یک استوانهٔ توخالیِ چندلایهٔ</w:t>
      </w:r>
      <w:r>
        <w:rPr>
          <w:rtl/>
        </w:rPr>
        <w:t xml:space="preserve"> </w:t>
      </w:r>
      <w:r>
        <w:rPr>
          <w:rtl/>
        </w:rPr>
        <w:t xml:space="preserve">متخلخلِ تقویت‌شده با پلاکت‌های گرافنی تحت بار ترمو-مکانیکی، بر پایهٔ تئوری</w:t>
      </w:r>
      <w:r>
        <w:rPr>
          <w:rtl/>
        </w:rPr>
        <w:t xml:space="preserve"> </w:t>
      </w:r>
      <w:r>
        <w:rPr>
          <w:rtl/>
        </w:rPr>
        <w:t xml:space="preserve">تعمیم‌یافتهٔ لرد-شولمن و به روش دیفرانسیل کوادریچر لایه‌ای در فضا و انتگرال‌گیری</w:t>
      </w:r>
      <w:r>
        <w:rPr>
          <w:rtl/>
        </w:rPr>
        <w:t xml:space="preserve"> </w:t>
      </w:r>
      <w:r>
        <w:rPr>
          <w:rtl/>
        </w:rPr>
        <w:t xml:space="preserve">نیومارک در زمان، به‌صورت کاملاً ممزوج حل شد. حل‌گر توسعه‌داده‌شده با پنج آزمون</w:t>
      </w:r>
      <w:r>
        <w:rPr>
          <w:rtl/>
        </w:rPr>
        <w:t xml:space="preserve"> </w:t>
      </w:r>
      <w:r>
        <w:rPr>
          <w:rtl/>
        </w:rPr>
        <w:t xml:space="preserve">مستقل صحت‌سنجی و همگرایی آن نسبت به تعداد لایه‌ها و گسسته‌سازی مکانی تثبیت</w:t>
      </w:r>
      <w:r>
        <w:rPr>
          <w:rtl/>
        </w:rPr>
        <w:t xml:space="preserve"> </w:t>
      </w:r>
      <w:r>
        <w:rPr>
          <w:rtl/>
        </w:rPr>
        <w:t xml:space="preserve">گردید؛ سپس مجموعه‌ای گسترده از مطالعات پارامتری و سه مطالعهٔ گسترشی انجام شد.</w:t>
      </w:r>
      <w:r>
        <w:rPr>
          <w:rtl/>
        </w:rPr>
        <w:t xml:space="preserve"> </w:t>
      </w:r>
      <w:r>
        <w:rPr>
          <w:rtl/>
        </w:rPr>
        <w:t xml:space="preserve">در این فصل، مهم‌ترین یافته‌ها، نوآوری‌ها و پیشنهادها برای پژوهش‌های آینده</w:t>
      </w:r>
      <w:r>
        <w:rPr>
          <w:rtl/>
        </w:rPr>
        <w:t xml:space="preserve"> </w:t>
      </w:r>
      <w:r>
        <w:rPr>
          <w:rtl/>
        </w:rPr>
        <w:t xml:space="preserve">جمع‌بندی می‌شوند.</w:t>
      </w:r>
    </w:p>
    <w:bookmarkEnd w:id="28"/>
    <w:bookmarkStart w:id="29" w:name="یافتههای-اصلی"/>
    <w:p>
      <w:pPr>
        <w:pStyle w:val="Heading2"/>
        <w:bidi/>
      </w:pPr>
      <w:r>
        <w:rPr>
          <w:rtl/>
        </w:rPr>
        <w:t xml:space="preserve">5-2. یافته‌های اصلی</w:t>
      </w:r>
    </w:p>
    <w:p>
      <w:pPr>
        <w:bidi/>
      </w:pPr>
      <w:r>
        <w:rPr>
          <w:rtl/>
        </w:rPr>
        <w:t xml:space="preserve">مهم‌ترین نتایج پژوهش به شرح زیر است:</w:t>
      </w:r>
    </w:p>
    <w:p>
      <w:pPr>
        <w:numPr>
          <w:ilvl w:val="0"/>
          <w:numId w:val="1001"/>
        </w:numPr>
        <w:bidi/>
      </w:pPr>
      <w:r>
        <w:rPr>
          <w:b/>
          <w:bCs/>
          <w:rtl/>
        </w:rPr>
        <w:t xml:space="preserve">موج حرارتی و فراجهش دما.</w:t>
      </w:r>
      <w:r>
        <w:rPr>
          <w:rtl/>
        </w:rPr>
        <w:t xml:space="preserve"> </w:t>
      </w:r>
      <w:r>
        <w:rPr>
          <w:rtl/>
        </w:rPr>
        <w:t xml:space="preserve">برخلاف هدایت کلاسیک فوریه که در آن دمای</w:t>
      </w:r>
      <w:r>
        <w:rPr>
          <w:rtl/>
        </w:rPr>
        <w:t xml:space="preserve"> </w:t>
      </w:r>
      <w:r>
        <w:rPr>
          <w:rtl/>
        </w:rPr>
        <w:t xml:space="preserve">میان‌جداری هرگز از مقدار محرک فراتر نمی‌رود، تئوری لرد-شولمن به دلیل سرعت</w:t>
      </w:r>
      <w:r>
        <w:rPr>
          <w:rtl/>
        </w:rPr>
        <w:t xml:space="preserve"> </w:t>
      </w:r>
      <w:r>
        <w:rPr>
          <w:rtl/>
        </w:rPr>
        <w:t xml:space="preserve">محدود انتشار موج، امکان فراجهش دما (فراتر از واحد) را فراهم می‌کند؛ در حالت</w:t>
      </w:r>
      <w:r>
        <w:rPr>
          <w:rtl/>
        </w:rPr>
        <w:t xml:space="preserve"> </w:t>
      </w:r>
      <w:r>
        <w:rPr>
          <w:rtl/>
        </w:rPr>
        <w:t xml:space="preserve">مرجع بیشینهٔ دمای نقطهٔ میانی ۰٫۹۲۶ است و از واحد فراتر نمی‌رود، اما فراجهشِ</w:t>
      </w:r>
      <w:r>
        <w:rPr>
          <w:rtl/>
        </w:rPr>
        <w:t xml:space="preserve"> </w:t>
      </w:r>
      <w:r>
        <w:rPr>
          <w:rtl/>
        </w:rPr>
        <w:t xml:space="preserve">واقعی در حالت‌هایی مانند تخلخلِ V (۱٫۱۰۹) و کسر وزنیِ بالای گرافن (تا ۱٫۱۱۵)</w:t>
      </w:r>
      <w:r>
        <w:rPr>
          <w:rtl/>
        </w:rPr>
        <w:t xml:space="preserve"> </w:t>
      </w:r>
      <w:r>
        <w:rPr>
          <w:rtl/>
        </w:rPr>
        <w:t xml:space="preserve">دیده می‌شود. تاریخچه‌های دما شکل مشخصهٔ «قله-قعر» ناشی از</w:t>
      </w:r>
      <w:r>
        <w:rPr>
          <w:rtl/>
        </w:rPr>
        <w:t xml:space="preserve"> </w:t>
      </w:r>
      <w:r>
        <w:rPr>
          <w:rtl/>
        </w:rPr>
        <w:t xml:space="preserve">رفت‌وبرگشت موج و بازتاب آن از سطح خارجی را نشان می‌دهند؛ پدیده‌ای که در</w:t>
      </w:r>
      <w:r>
        <w:rPr>
          <w:rtl/>
        </w:rPr>
        <w:t xml:space="preserve"> </w:t>
      </w:r>
      <w:r>
        <w:rPr>
          <w:rtl/>
        </w:rPr>
        <w:t xml:space="preserve">تحلیل‌های کوتاه‌زمان تعیین‌کننده است.</w:t>
      </w:r>
    </w:p>
    <w:p>
      <w:pPr>
        <w:numPr>
          <w:ilvl w:val="0"/>
          <w:numId w:val="1001"/>
        </w:numPr>
        <w:bidi/>
      </w:pPr>
      <w:r>
        <w:rPr>
          <w:b/>
          <w:bCs/>
          <w:rtl/>
        </w:rPr>
        <w:t xml:space="preserve">الگوی توزیع گرافن.</w:t>
      </w:r>
      <w:r>
        <w:rPr>
          <w:rtl/>
        </w:rPr>
        <w:t xml:space="preserve"> </w:t>
      </w:r>
      <w:r>
        <w:rPr>
          <w:rtl/>
        </w:rPr>
        <w:t xml:space="preserve">قرار دادن پلاکت‌های رسانا در سطح داخلیِ گرم‌شونده</w:t>
      </w:r>
      <w:r>
        <w:rPr>
          <w:rtl/>
        </w:rPr>
        <w:t xml:space="preserve"> </w:t>
      </w:r>
      <w:r>
        <w:rPr>
          <w:rtl/>
        </w:rPr>
        <w:t xml:space="preserve">(الگوی V) مطلوب‌ترین رفتار را می‌دهد و بیشینهٔ دما را حدود ۲۹ درصد کمتر از</w:t>
      </w:r>
      <w:r>
        <w:rPr>
          <w:rtl/>
        </w:rPr>
        <w:t xml:space="preserve"> </w:t>
      </w:r>
      <w:r>
        <w:rPr>
          <w:rtl/>
        </w:rPr>
        <w:t xml:space="preserve">حالت یکنواخت و تنش محیطی سطح داخلی را تا حدود ۳ برابر کوچک‌تر می‌کند. الگوی</w:t>
      </w:r>
      <w:r>
        <w:rPr>
          <w:rtl/>
        </w:rPr>
        <w:t xml:space="preserve"> </w:t>
      </w:r>
      <w:r>
        <w:rPr>
          <w:rtl/>
        </w:rPr>
        <w:t xml:space="preserve">A تصویر آینه‌ای V و بدترین حالت در هر سه کمیت (دما، تنش و جابجایی) است.</w:t>
      </w:r>
    </w:p>
    <w:p>
      <w:pPr>
        <w:numPr>
          <w:ilvl w:val="0"/>
          <w:numId w:val="1001"/>
        </w:numPr>
        <w:bidi/>
      </w:pPr>
      <w:r>
        <w:rPr>
          <w:b/>
          <w:bCs/>
          <w:rtl/>
        </w:rPr>
        <w:t xml:space="preserve">الگو و سطح تخلخل.</w:t>
      </w:r>
      <w:r>
        <w:rPr>
          <w:rtl/>
        </w:rPr>
        <w:t xml:space="preserve"> </w:t>
      </w:r>
      <w:r>
        <w:rPr>
          <w:rtl/>
        </w:rPr>
        <w:t xml:space="preserve">الگوی تخلخل A با تمرکز حفره‌ها در سطح خارجی همچون یک</w:t>
      </w:r>
      <w:r>
        <w:rPr>
          <w:rtl/>
        </w:rPr>
        <w:t xml:space="preserve"> </w:t>
      </w:r>
      <w:r>
        <w:rPr>
          <w:rtl/>
        </w:rPr>
        <w:t xml:space="preserve">«سد حرارتی» عمل کرده و دمای سطح خارجی را تا حدود ۸ برابر کاهش می‌دهد، اما</w:t>
      </w:r>
      <w:r>
        <w:rPr>
          <w:rtl/>
        </w:rPr>
        <w:t xml:space="preserve"> </w:t>
      </w:r>
      <w:r>
        <w:rPr>
          <w:rtl/>
        </w:rPr>
        <w:t xml:space="preserve">علامت تنش محیطی سطح داخلی را نیز تغییر می‌دهد. الگوی V حفره‌ها را در سطح</w:t>
      </w:r>
      <w:r>
        <w:rPr>
          <w:rtl/>
        </w:rPr>
        <w:t xml:space="preserve"> </w:t>
      </w:r>
      <w:r>
        <w:rPr>
          <w:rtl/>
        </w:rPr>
        <w:t xml:space="preserve">داخلی متمرکز کرده و بزرگ‌ترین قلهٔ گذرای گروه (۱٫۱۱) را پدید می‌آورد.</w:t>
      </w:r>
    </w:p>
    <w:p>
      <w:pPr>
        <w:numPr>
          <w:ilvl w:val="0"/>
          <w:numId w:val="1001"/>
        </w:numPr>
        <w:bidi/>
      </w:pPr>
      <w:r>
        <w:rPr>
          <w:b/>
          <w:bCs/>
          <w:rtl/>
        </w:rPr>
        <w:t xml:space="preserve">برهم‌کنش هم‌افزای گرافن و تخلخل.</w:t>
      </w:r>
      <w:r>
        <w:rPr>
          <w:rtl/>
        </w:rPr>
        <w:t xml:space="preserve"> </w:t>
      </w:r>
      <w:r>
        <w:rPr>
          <w:rtl/>
        </w:rPr>
        <w:t xml:space="preserve">ترکیب گرافنِ V (رسانا رو به منبع حرارت)</w:t>
      </w:r>
      <w:r>
        <w:rPr>
          <w:rtl/>
        </w:rPr>
        <w:t xml:space="preserve"> </w:t>
      </w:r>
      <w:r>
        <w:rPr>
          <w:rtl/>
        </w:rPr>
        <w:t xml:space="preserve">با تخلخلِ A (عایق رو به محیط) هم‌افزا است و دمای سطح خارجی را در تراز تنش</w:t>
      </w:r>
      <w:r>
        <w:rPr>
          <w:rtl/>
        </w:rPr>
        <w:t xml:space="preserve"> </w:t>
      </w:r>
      <w:r>
        <w:rPr>
          <w:rtl/>
        </w:rPr>
        <w:t xml:space="preserve">ملایم تا حدود</w:t>
      </w:r>
      <w:r>
        <w:rPr>
          <w:rtl/>
        </w:rPr>
        <w:t xml:space="preserve"> </w:t>
      </w:r>
      <w:r>
        <w:rPr>
          <w:b/>
          <w:bCs/>
          <w:rtl/>
        </w:rPr>
        <w:t xml:space="preserve">۲۶ برابر</w:t>
      </w:r>
      <w:r>
        <w:rPr>
          <w:rtl/>
        </w:rPr>
        <w:t xml:space="preserve"> </w:t>
      </w:r>
      <w:r>
        <w:rPr>
          <w:rtl/>
        </w:rPr>
        <w:t xml:space="preserve">کاهش می‌دهد؛ این ترکیب، توصیهٔ طراحی این پژوهش برای</w:t>
      </w:r>
      <w:r>
        <w:rPr>
          <w:rtl/>
        </w:rPr>
        <w:t xml:space="preserve"> </w:t>
      </w:r>
      <w:r>
        <w:rPr>
          <w:rtl/>
        </w:rPr>
        <w:t xml:space="preserve">کاربردهای حفاظت حرارتی است. ماتریس کامل ۵×۵ نشان داد که الگوهای آینه‌ای V و A</w:t>
      </w:r>
      <w:r>
        <w:rPr>
          <w:rtl/>
        </w:rPr>
        <w:t xml:space="preserve"> </w:t>
      </w:r>
      <w:r>
        <w:rPr>
          <w:rtl/>
        </w:rPr>
        <w:t xml:space="preserve">می‌توانند هم‌افزا (V-گرافن با A-تخلخل → ۰٫۰۳۴) یا خنثی‌کننده (V-گرافن با</w:t>
      </w:r>
      <w:r>
        <w:rPr>
          <w:rtl/>
        </w:rPr>
        <w:t xml:space="preserve"> </w:t>
      </w:r>
      <w:r>
        <w:rPr>
          <w:rtl/>
        </w:rPr>
        <w:t xml:space="preserve">V-تخلخل → ۰٫۶۹۲) باشند؛ پس هم‌راستایی یا تقابل دو الگو تعیین‌کننده است.</w:t>
      </w:r>
    </w:p>
    <w:p>
      <w:pPr>
        <w:numPr>
          <w:ilvl w:val="0"/>
          <w:numId w:val="1001"/>
        </w:numPr>
        <w:bidi/>
      </w:pPr>
      <w:r>
        <w:rPr>
          <w:b/>
          <w:bCs/>
          <w:rtl/>
        </w:rPr>
        <w:t xml:space="preserve">کسر وزنی و آستانهٔ پرکولاسیون.</w:t>
      </w:r>
      <w:r>
        <w:rPr>
          <w:rtl/>
        </w:rPr>
        <w:t xml:space="preserve"> </w:t>
      </w:r>
      <w:r>
        <w:rPr>
          <w:rtl/>
        </w:rPr>
        <w:t xml:space="preserve">آستانهٔ پرکولاسیون در حدود کسر وزنی ۱</w:t>
      </w:r>
      <w:r>
        <w:rPr>
          <w:rtl/>
        </w:rPr>
        <w:t xml:space="preserve"> </w:t>
      </w:r>
      <w:r>
        <w:rPr>
          <w:rtl/>
        </w:rPr>
        <w:t xml:space="preserve">درصد، جداره را از رفتار «عایق حرارتی» به «رسانای حرارتی» تبدیل می‌کند؛ افزودن</w:t>
      </w:r>
      <w:r>
        <w:rPr>
          <w:rtl/>
        </w:rPr>
        <w:t xml:space="preserve"> </w:t>
      </w:r>
      <w:r>
        <w:rPr>
          <w:rtl/>
        </w:rPr>
        <w:t xml:space="preserve">گرافن بیش از آن، نفوذ حرارتی را تنها به‌صورت هموار بهبود می‌دهد اما عمدتاً</w:t>
      </w:r>
      <w:r>
        <w:rPr>
          <w:rtl/>
        </w:rPr>
        <w:t xml:space="preserve"> </w:t>
      </w:r>
      <w:r>
        <w:rPr>
          <w:rtl/>
        </w:rPr>
        <w:t xml:space="preserve">تنش‌های حرارتی را می‌افزاید (دو برابر شدن تنش در ۸ درصد).</w:t>
      </w:r>
    </w:p>
    <w:p>
      <w:pPr>
        <w:numPr>
          <w:ilvl w:val="0"/>
          <w:numId w:val="1001"/>
        </w:numPr>
        <w:bidi/>
      </w:pPr>
      <w:r>
        <w:rPr>
          <w:b/>
          <w:bCs/>
          <w:rtl/>
        </w:rPr>
        <w:t xml:space="preserve">نسبت‌های ابعادی پلاکت.</w:t>
      </w:r>
      <w:r>
        <w:rPr>
          <w:rtl/>
        </w:rPr>
        <w:t xml:space="preserve"> </w:t>
      </w:r>
      <w:r>
        <w:rPr>
          <w:rtl/>
        </w:rPr>
        <w:t xml:space="preserve">دو نسبت ابعادی رفتارهای متفاوتی دارند. نسبت</w:t>
      </w:r>
      <w:r>
        <w:rPr>
          <w:rtl/>
        </w:rPr>
        <w:t xml:space="preserve"> </w:t>
      </w:r>
      <w:r>
        <w:rPr>
          <w:rtl/>
        </w:rPr>
        <w:t xml:space="preserve">طول‌به‌عرض اثری یکنواخت اما اشباع‌شونده دارد: با افزایش آن از ۱ تا ۱۰،</w:t>
      </w:r>
      <w:r>
        <w:rPr>
          <w:rtl/>
        </w:rPr>
        <w:t xml:space="preserve"> </w:t>
      </w:r>
      <w:r>
        <w:rPr>
          <w:rtl/>
        </w:rPr>
        <w:t xml:space="preserve">بیشینهٔ دمای نقطهٔ میانی تنها از ۰٫۸۹۸ به ۰٫۹۵۱ می‌رسد و بیشترِ این تغییر در</w:t>
      </w:r>
      <w:r>
        <w:rPr>
          <w:rtl/>
        </w:rPr>
        <w:t xml:space="preserve"> </w:t>
      </w:r>
      <w:r>
        <w:rPr>
          <w:rtl/>
        </w:rPr>
        <w:t xml:space="preserve">گام نخست رخ می‌دهد، چنان‌که از نسبت ۴ به بعد منحنی‌ها عملاً بر هم منطبق‌اند.</w:t>
      </w:r>
      <w:r>
        <w:rPr>
          <w:rtl/>
        </w:rPr>
        <w:t xml:space="preserve"> </w:t>
      </w:r>
      <w:r>
        <w:rPr>
          <w:rtl/>
        </w:rPr>
        <w:t xml:space="preserve">نسبت عرض‌به‌ضخامت اما اهرمی آستانه‌ای است، نه ضعیف: شبکهٔ رسانای پلاکت‌ها</w:t>
      </w:r>
      <w:r>
        <w:rPr>
          <w:rtl/>
        </w:rPr>
        <w:t xml:space="preserve"> </w:t>
      </w:r>
      <w:r>
        <w:rPr>
          <w:rtl/>
        </w:rPr>
        <w:t xml:space="preserve">تنها هنگامی شکل می‌گیرد که کسر حجمی از وارونِ نسبت طول‌به‌ضخامت بزرگ‌تر شود،</w:t>
      </w:r>
      <w:r>
        <w:rPr>
          <w:rtl/>
        </w:rPr>
        <w:t xml:space="preserve"> </w:t>
      </w:r>
      <w:r>
        <w:rPr>
          <w:rtl/>
        </w:rPr>
        <w:t xml:space="preserve">که در کسر وزنیِ مرجع به نسبت عرض‌به‌ضخامتِ بزرگ‌تر از حدود ۱۷۷ می‌انجامد؛</w:t>
      </w:r>
      <w:r>
        <w:rPr>
          <w:rtl/>
        </w:rPr>
        <w:t xml:space="preserve"> </w:t>
      </w:r>
      <w:r>
        <w:rPr>
          <w:rtl/>
        </w:rPr>
        <w:t xml:space="preserve">زیر این آستانه هدایت حرارتی مؤثر به مقدارِ زمینهٔ متخلخلِ بدون گرافن</w:t>
      </w:r>
      <w:r>
        <w:rPr>
          <w:rtl/>
        </w:rPr>
        <w:t xml:space="preserve"> </w:t>
      </w:r>
      <w:r>
        <w:rPr>
          <w:rtl/>
        </w:rPr>
        <w:t xml:space="preserve">بازمی‌گردد و موج حرارتی در پنجرهٔ زمانیِ مسئله به میانهٔ جداره نمی‌رسد. با</w:t>
      </w:r>
      <w:r>
        <w:rPr>
          <w:rtl/>
        </w:rPr>
        <w:t xml:space="preserve"> </w:t>
      </w:r>
      <w:r>
        <w:rPr>
          <w:rtl/>
        </w:rPr>
        <w:t xml:space="preserve">این حال سفتی همچنان پیوسته با همین نسبت تغییر می‌کند، پس دو حالتِ زیرِ آستانه</w:t>
      </w:r>
      <w:r>
        <w:rPr>
          <w:rtl/>
        </w:rPr>
        <w:t xml:space="preserve"> </w:t>
      </w:r>
      <w:r>
        <w:rPr>
          <w:rtl/>
        </w:rPr>
        <w:t xml:space="preserve">با وجودِ یکسان‌بودنِ میدانِ دما، از نظرِ مکانیکی از یکدیگر جدا می‌شوند.</w:t>
      </w:r>
    </w:p>
    <w:p>
      <w:pPr>
        <w:numPr>
          <w:ilvl w:val="0"/>
          <w:numId w:val="1001"/>
        </w:numPr>
        <w:bidi/>
      </w:pPr>
      <w:r>
        <w:rPr>
          <w:b/>
          <w:bCs/>
          <w:rtl/>
        </w:rPr>
        <w:t xml:space="preserve">ممزوج بودن معادلات.</w:t>
      </w:r>
      <w:r>
        <w:rPr>
          <w:rtl/>
        </w:rPr>
        <w:t xml:space="preserve"> </w:t>
      </w:r>
      <w:r>
        <w:rPr>
          <w:rtl/>
        </w:rPr>
        <w:t xml:space="preserve">حل کاملاً ممزوج، موج حرارتی را حدود ۱ درصد میرا</w:t>
      </w:r>
      <w:r>
        <w:rPr>
          <w:rtl/>
        </w:rPr>
        <w:t xml:space="preserve"> </w:t>
      </w:r>
      <w:r>
        <w:rPr>
          <w:rtl/>
        </w:rPr>
        <w:t xml:space="preserve">می‌کند (میرایی ترموالاستیک)؛ مدل‌های غیرممزوج دقیقاً در جبهه‌های موج</w:t>
      </w:r>
      <w:r>
        <w:rPr>
          <w:rtl/>
        </w:rPr>
        <w:t xml:space="preserve"> </w:t>
      </w:r>
      <w:r>
        <w:rPr>
          <w:rtl/>
        </w:rPr>
        <w:t xml:space="preserve">نامحافظه‌کارانه‌اند.</w:t>
      </w:r>
    </w:p>
    <w:p>
      <w:pPr>
        <w:numPr>
          <w:ilvl w:val="0"/>
          <w:numId w:val="1001"/>
        </w:numPr>
        <w:bidi/>
      </w:pPr>
      <w:r>
        <w:rPr>
          <w:b/>
          <w:bCs/>
          <w:rtl/>
        </w:rPr>
        <w:t xml:space="preserve">فشار داخلی و تکیه‌گاه‌ها.</w:t>
      </w:r>
      <w:r>
        <w:rPr>
          <w:rtl/>
        </w:rPr>
        <w:t xml:space="preserve"> </w:t>
      </w:r>
      <w:r>
        <w:rPr>
          <w:rtl/>
        </w:rPr>
        <w:t xml:space="preserve">فشار داخلی در مرتبهٔ مهندسیِ کوچک یک اثر مرتبهٔ</w:t>
      </w:r>
      <w:r>
        <w:rPr>
          <w:rtl/>
        </w:rPr>
        <w:t xml:space="preserve"> </w:t>
      </w:r>
      <w:r>
        <w:rPr>
          <w:rtl/>
        </w:rPr>
        <w:t xml:space="preserve">دوم است، اما در بازهٔ ۷۰ تا ۱۰۰ مگاپاسکال به یک اثر ثانویهٔ واقعی (تا حدود</w:t>
      </w:r>
      <w:r>
        <w:rPr>
          <w:rtl/>
        </w:rPr>
        <w:t xml:space="preserve"> </w:t>
      </w:r>
      <w:r>
        <w:rPr>
          <w:rtl/>
        </w:rPr>
        <w:t xml:space="preserve">۵۰ درصد تنش محیطی داخلی) تبدیل می‌شود؛ با این حال پاسخ همچنان حرارت‌غالب</w:t>
      </w:r>
      <w:r>
        <w:rPr>
          <w:rtl/>
        </w:rPr>
        <w:t xml:space="preserve"> </w:t>
      </w:r>
      <w:r>
        <w:rPr>
          <w:rtl/>
        </w:rPr>
        <w:t xml:space="preserve">می‌ماند و در مدل خطی حاضر تا ۱۰۰ مگاپاسکال هیچ گسستی رخ نمی‌دهد. تکیه‌گاه</w:t>
      </w:r>
      <w:r>
        <w:rPr>
          <w:rtl/>
        </w:rPr>
        <w:t xml:space="preserve"> </w:t>
      </w:r>
      <w:r>
        <w:rPr>
          <w:rtl/>
        </w:rPr>
        <w:t xml:space="preserve">گیردار با مسدودکردنِ انبساط محوری، بیشینهٔ جابجایی شعاعیِ مقطع میانی را حدود</w:t>
      </w:r>
      <w:r>
        <w:rPr>
          <w:rtl/>
        </w:rPr>
        <w:t xml:space="preserve"> </w:t>
      </w:r>
      <w:r>
        <w:rPr>
          <w:rtl/>
        </w:rPr>
        <w:t xml:space="preserve">۹ درصد کاهش می‌دهد و اثر تکیه‌گاه‌ها موضعی و محدود به نواحی انتهایی است؛ با بلندتر شدن</w:t>
      </w:r>
      <w:r>
        <w:rPr>
          <w:rtl/>
        </w:rPr>
        <w:t xml:space="preserve"> </w:t>
      </w:r>
      <w:r>
        <w:rPr>
          <w:rtl/>
        </w:rPr>
        <w:t xml:space="preserve">استوانه، پاسخ مقطع میانی به حد استوانهٔ نامحدود همگرا می‌شود.</w:t>
      </w:r>
    </w:p>
    <w:p>
      <w:pPr>
        <w:numPr>
          <w:ilvl w:val="0"/>
          <w:numId w:val="1001"/>
        </w:numPr>
        <w:bidi/>
      </w:pPr>
      <w:r>
        <w:rPr>
          <w:b/>
          <w:bCs/>
          <w:rtl/>
        </w:rPr>
        <w:t xml:space="preserve">شوک حرارتی ضربه‌ای.</w:t>
      </w:r>
      <w:r>
        <w:rPr>
          <w:rtl/>
        </w:rPr>
        <w:t xml:space="preserve"> </w:t>
      </w:r>
      <w:r>
        <w:rPr>
          <w:rtl/>
        </w:rPr>
        <w:t xml:space="preserve">در بارگذاری پالس گاوسی، تئوری کلاسیک بیشینهٔ دما را</w:t>
      </w:r>
      <w:r>
        <w:rPr>
          <w:rtl/>
        </w:rPr>
        <w:t xml:space="preserve"> </w:t>
      </w:r>
      <w:r>
        <w:rPr>
          <w:rtl/>
        </w:rPr>
        <w:t xml:space="preserve">حدود</w:t>
      </w:r>
      <w:r>
        <w:rPr>
          <w:rtl/>
        </w:rPr>
        <w:t xml:space="preserve"> </w:t>
      </w:r>
      <w:r>
        <w:rPr>
          <w:b/>
          <w:bCs/>
          <w:rtl/>
        </w:rPr>
        <w:t xml:space="preserve">۲٫۵ برابر</w:t>
      </w:r>
      <w:r>
        <w:rPr>
          <w:rtl/>
        </w:rPr>
        <w:t xml:space="preserve"> </w:t>
      </w:r>
      <w:r>
        <w:rPr>
          <w:rtl/>
        </w:rPr>
        <w:t xml:space="preserve">کم‌برآورد می‌کند؛ یکی از قوی‌ترین استدلال‌های این پژوهش به</w:t>
      </w:r>
      <w:r>
        <w:rPr>
          <w:rtl/>
        </w:rPr>
        <w:t xml:space="preserve"> </w:t>
      </w:r>
      <w:r>
        <w:rPr>
          <w:rtl/>
        </w:rPr>
        <w:t xml:space="preserve">سود تئوری تعمیم‌یافته.</w:t>
      </w:r>
    </w:p>
    <w:p>
      <w:pPr>
        <w:numPr>
          <w:ilvl w:val="0"/>
          <w:numId w:val="1001"/>
        </w:numPr>
        <w:bidi/>
      </w:pPr>
      <w:r>
        <w:rPr>
          <w:b/>
          <w:bCs/>
          <w:rtl/>
        </w:rPr>
        <w:t xml:space="preserve">یافته‌های روش‌شناختی.</w:t>
      </w:r>
      <w:r>
        <w:rPr>
          <w:rtl/>
        </w:rPr>
        <w:t xml:space="preserve"> </w:t>
      </w:r>
      <w:r>
        <w:rPr>
          <w:rtl/>
        </w:rPr>
        <w:t xml:space="preserve">روش نیومارک بهترین نسبت دقت به هزینه را در میان شش</w:t>
      </w:r>
      <w:r>
        <w:rPr>
          <w:rtl/>
        </w:rPr>
        <w:t xml:space="preserve"> </w:t>
      </w:r>
      <w:r>
        <w:rPr>
          <w:rtl/>
        </w:rPr>
        <w:t xml:space="preserve">انتگرال‌گیر آزموده دارد؛ روش دیفرانسیل کوادریچر در هر راستا حدود ۱۵ برابر</w:t>
      </w:r>
      <w:r>
        <w:rPr>
          <w:rtl/>
        </w:rPr>
        <w:t xml:space="preserve"> </w:t>
      </w:r>
      <w:r>
        <w:rPr>
          <w:rtl/>
        </w:rPr>
        <w:t xml:space="preserve">نقطهٔ کمتر از تفاضل محدود و اجزای محدود خطی نیاز دارد؛ و نقشهٔ چهارتئوریِ</w:t>
      </w:r>
      <w:r>
        <w:rPr>
          <w:rtl/>
        </w:rPr>
        <w:t xml:space="preserve"> </w:t>
      </w:r>
      <w:r>
        <w:rPr>
          <w:rtl/>
        </w:rPr>
        <w:t xml:space="preserve">فوریه/لرد-شولمن/DPL/گرین-نقدی، محدودهٔ واگرایی تئوری‌ها را ترسیم می‌کند</w:t>
      </w:r>
      <w:r>
        <w:rPr>
          <w:rtl/>
        </w:rPr>
        <w:t xml:space="preserve"> </w:t>
      </w:r>
      <w:r>
        <w:rPr>
          <w:rtl/>
        </w:rPr>
        <w:t xml:space="preserve">(تباهیدگی DPL در</w:t>
      </w:r>
      <w:r>
        <w:rPr>
          <w:rtl/>
        </w:rPr>
        <w:t xml:space="preserve"> </w:t>
      </w:r>
      <m:oMath>
        <m:sSub>
          <m:e>
            <m:r>
              <m:t>τ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τ</m:t>
            </m:r>
          </m:e>
          <m:sub>
            <m:r>
              <m:t>q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و فراجهش ماندگار گرین-نقدی).</w:t>
      </w:r>
    </w:p>
    <w:bookmarkEnd w:id="29"/>
    <w:bookmarkStart w:id="30" w:name="نوآوریهای-پژوهش"/>
    <w:p>
      <w:pPr>
        <w:pStyle w:val="Heading2"/>
        <w:bidi/>
      </w:pPr>
      <w:r>
        <w:rPr>
          <w:rtl/>
        </w:rPr>
        <w:t xml:space="preserve">5-3. نوآوری‌های پژوهش</w:t>
      </w:r>
    </w:p>
    <w:p>
      <w:pPr>
        <w:pStyle w:val="Compact"/>
        <w:numPr>
          <w:ilvl w:val="0"/>
          <w:numId w:val="1002"/>
        </w:numPr>
        <w:bidi/>
      </w:pPr>
      <w:r>
        <w:rPr>
          <w:rtl/>
        </w:rPr>
        <w:t xml:space="preserve">حل کاملاً ممزوجِ ترموالاستیسیتهٔ لرد-شولمن برای استوانهٔ چندلایهٔ متخلخلِ</w:t>
      </w:r>
      <w:r>
        <w:rPr>
          <w:rtl/>
        </w:rPr>
        <w:t xml:space="preserve"> </w:t>
      </w:r>
      <w:r>
        <w:rPr>
          <w:rtl/>
        </w:rPr>
        <w:t xml:space="preserve">تقویت‌شده با گرافن به روش دیفرانسیل کوادریچر لایه‌ای دوبعدی</w:t>
      </w:r>
      <w:r>
        <w:rPr>
          <w:rtl/>
        </w:rP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tl/>
        </w:rPr>
        <w:t xml:space="preserve">.</w:t>
      </w:r>
    </w:p>
    <w:p>
      <w:pPr>
        <w:pStyle w:val="Compact"/>
        <w:numPr>
          <w:ilvl w:val="0"/>
          <w:numId w:val="1002"/>
        </w:numPr>
        <w:bidi/>
      </w:pPr>
      <w:r>
        <w:rPr>
          <w:rtl/>
        </w:rPr>
        <w:t xml:space="preserve">شناسایی برهم‌کنش هم‌افزای الگوهای V-گرافن و A-تخلخل و ارائهٔ ماتریس کامل ۵×۵</w:t>
      </w:r>
      <w:r>
        <w:rPr>
          <w:rtl/>
        </w:rPr>
        <w:t xml:space="preserve"> </w:t>
      </w:r>
      <w:r>
        <w:rPr>
          <w:rtl/>
        </w:rPr>
        <w:t xml:space="preserve">برهم‌کنش که در مراجع پیشین همتایی ندارد.</w:t>
      </w:r>
    </w:p>
    <w:p>
      <w:pPr>
        <w:pStyle w:val="Compact"/>
        <w:numPr>
          <w:ilvl w:val="0"/>
          <w:numId w:val="1002"/>
        </w:numPr>
        <w:bidi/>
      </w:pPr>
      <w:r>
        <w:rPr>
          <w:rtl/>
        </w:rPr>
        <w:t xml:space="preserve">گزارش رفتار «قله-قعر» و آینه‌ایِ الگوها و پیوند آن با سرشت موجی هدایت.</w:t>
      </w:r>
    </w:p>
    <w:p>
      <w:pPr>
        <w:pStyle w:val="Compact"/>
        <w:numPr>
          <w:ilvl w:val="0"/>
          <w:numId w:val="1002"/>
        </w:numPr>
        <w:bidi/>
      </w:pPr>
      <w:r>
        <w:rPr>
          <w:rtl/>
        </w:rPr>
        <w:t xml:space="preserve">سه مطالعهٔ گسترشیِ روش‌شناختی: مقایسهٔ شش انتگرال‌گیر زمانی، چهار روش</w:t>
      </w:r>
      <w:r>
        <w:rPr>
          <w:rtl/>
        </w:rPr>
        <w:t xml:space="preserve"> </w:t>
      </w:r>
      <w:r>
        <w:rPr>
          <w:rtl/>
        </w:rPr>
        <w:t xml:space="preserve">گسسته‌سازی مکانی (شامل اجزای محدود گلرکین خطی/درجه‌دوم) و چهار تئوری</w:t>
      </w:r>
      <w:r>
        <w:rPr>
          <w:rtl/>
        </w:rPr>
        <w:t xml:space="preserve"> </w:t>
      </w:r>
      <w:r>
        <w:rPr>
          <w:rtl/>
        </w:rPr>
        <w:t xml:space="preserve">ترموالاستیسیته با پارامترهای هم‌خوان.</w:t>
      </w:r>
    </w:p>
    <w:bookmarkEnd w:id="30"/>
    <w:bookmarkStart w:id="31" w:name="محدودیتهای-پژوهش"/>
    <w:p>
      <w:pPr>
        <w:pStyle w:val="Heading2"/>
        <w:bidi/>
      </w:pPr>
      <w:r>
        <w:rPr>
          <w:rtl/>
        </w:rPr>
        <w:t xml:space="preserve">5-4. محدودیت‌های پژوهش</w:t>
      </w:r>
    </w:p>
    <w:p>
      <w:pPr>
        <w:bidi/>
      </w:pPr>
      <w:r>
        <w:rPr>
          <w:rtl/>
        </w:rPr>
        <w:t xml:space="preserve">مانند هر مطالعهٔ عددی، این پژوهش در چارچوب مفروضات و مرزهای مشخصی انجام شده است</w:t>
      </w:r>
      <w:r>
        <w:rPr>
          <w:rtl/>
        </w:rPr>
        <w:t xml:space="preserve"> </w:t>
      </w:r>
      <w:r>
        <w:rPr>
          <w:rtl/>
        </w:rPr>
        <w:t xml:space="preserve">که باید هنگام تفسیر و تعمیمِ نتایج در نظر گرفته شوند:</w:t>
      </w:r>
    </w:p>
    <w:p>
      <w:pPr>
        <w:pStyle w:val="Compact"/>
        <w:numPr>
          <w:ilvl w:val="0"/>
          <w:numId w:val="1003"/>
        </w:numPr>
        <w:bidi/>
      </w:pPr>
      <w:r>
        <w:rPr>
          <w:b/>
          <w:bCs/>
          <w:rtl/>
        </w:rPr>
        <w:t xml:space="preserve">مدلِ خطیِ کشسان، بدونِ معیارِ آسیب/شکست.</w:t>
      </w:r>
      <w:r>
        <w:rPr>
          <w:rtl/>
        </w:rPr>
        <w:t xml:space="preserve"> </w:t>
      </w:r>
      <w:r>
        <w:rPr>
          <w:rtl/>
        </w:rPr>
        <w:t xml:space="preserve">تنش‌ها و جابجایی‌ها در سراسرِ این</w:t>
      </w:r>
      <w:r>
        <w:rPr>
          <w:rtl/>
        </w:rPr>
        <w:t xml:space="preserve"> </w:t>
      </w:r>
      <w:r>
        <w:rPr>
          <w:rtl/>
        </w:rPr>
        <w:t xml:space="preserve">پژوهش — از جمله در بارهای زیاد مانندِ فشارِ داخلیِ ۱۰۰ مگاپاسکال یا شوکِ حرارتیِ</w:t>
      </w:r>
      <w:r>
        <w:rPr>
          <w:rtl/>
        </w:rPr>
        <w:t xml:space="preserve"> </w:t>
      </w:r>
      <w:r>
        <w:rPr>
          <w:rtl/>
        </w:rPr>
        <w:t xml:space="preserve">ضربه‌ای — بر پایهٔ فرضِ کشسانیِ خطی گزارش شده‌اند. مدل هیچ معیارِ تسلیم، ترک یا</w:t>
      </w:r>
      <w:r>
        <w:rPr>
          <w:rtl/>
        </w:rPr>
        <w:t xml:space="preserve"> </w:t>
      </w:r>
      <w:r>
        <w:rPr>
          <w:rtl/>
        </w:rPr>
        <w:t xml:space="preserve">جدایشِ لایه‌ای ندارد؛ بنابراین در بارهای بسیار زیاد، نتایج باید برون‌یابیِ ریاضیِ</w:t>
      </w:r>
      <w:r>
        <w:rPr>
          <w:rtl/>
        </w:rPr>
        <w:t xml:space="preserve"> </w:t>
      </w:r>
      <w:r>
        <w:rPr>
          <w:rtl/>
        </w:rPr>
        <w:t xml:space="preserve">یک مدلِ خطی تلقی شوند، نه پیش‌بینیِ رفتارِ واقعیِ گسستِ مادی.</w:t>
      </w:r>
    </w:p>
    <w:p>
      <w:pPr>
        <w:pStyle w:val="Compact"/>
        <w:numPr>
          <w:ilvl w:val="0"/>
          <w:numId w:val="1003"/>
        </w:numPr>
        <w:bidi/>
      </w:pPr>
      <w:r>
        <w:rPr>
          <w:b/>
          <w:bCs/>
          <w:rtl/>
        </w:rPr>
        <w:t xml:space="preserve">خواصِ مادیِ مستقل از دما.</w:t>
      </w:r>
      <w:r>
        <w:rPr>
          <w:rtl/>
        </w:rPr>
        <w:t xml:space="preserve"> </w:t>
      </w:r>
      <w:r>
        <w:rPr>
          <w:rtl/>
        </w:rPr>
        <w:t xml:space="preserve">مدولِ یانگ، رسانایی گرمایی، ضریبِ انبساطِ حرارتی و</w:t>
      </w:r>
      <w:r>
        <w:rPr>
          <w:rtl/>
        </w:rPr>
        <w:t xml:space="preserve"> </w:t>
      </w:r>
      <w:r>
        <w:rPr>
          <w:rtl/>
        </w:rPr>
        <w:t xml:space="preserve">ظرفیتِ گرماییِ ویژه در سراسرِ حل ثابت فرض شده‌اند، در حالی که بارگذاریِ مرجع دمای</w:t>
      </w:r>
      <w:r>
        <w:rPr>
          <w:rtl/>
        </w:rPr>
        <w:t xml:space="preserve"> </w:t>
      </w:r>
      <w:r>
        <w:rPr>
          <w:rtl/>
        </w:rPr>
        <w:t xml:space="preserve">سطحِ داخلی را از ۳۰۰ به ۶۰۰ کلوین می‌رساند؛ در این بازه، وابستگیِ دماییِ خواصِ</w:t>
      </w:r>
      <w:r>
        <w:rPr>
          <w:rtl/>
        </w:rPr>
        <w:t xml:space="preserve"> </w:t>
      </w:r>
      <w:r>
        <w:rPr>
          <w:rtl/>
        </w:rPr>
        <w:t xml:space="preserve">واقعیِ ماده قابلِ چشم‌پوشی نیست.</w:t>
      </w:r>
    </w:p>
    <w:p>
      <w:pPr>
        <w:pStyle w:val="Compact"/>
        <w:numPr>
          <w:ilvl w:val="0"/>
          <w:numId w:val="1003"/>
        </w:numPr>
        <w:bidi/>
      </w:pPr>
      <w:r>
        <w:rPr>
          <w:b/>
          <w:bCs/>
          <w:rtl/>
        </w:rPr>
        <w:t xml:space="preserve">همگن‌سازیِ همسانگردِ لایهٔ کامپوزیتی.</w:t>
      </w:r>
      <w:r>
        <w:rPr>
          <w:rtl/>
        </w:rPr>
        <w:t xml:space="preserve"> </w:t>
      </w:r>
      <w:r>
        <w:rPr>
          <w:rtl/>
        </w:rPr>
        <w:t xml:space="preserve">ماتریسِ کشسانِ لایهٔ گرافن-زمینه با</w:t>
      </w:r>
      <w:r>
        <w:rPr>
          <w:rtl/>
        </w:rPr>
        <w:t xml:space="preserve"> </w:t>
      </w:r>
      <w:r>
        <w:rPr>
          <w:rtl/>
        </w:rPr>
        <w:t xml:space="preserve">میانگین‌گیریِ هالپین-تسای (</w:t>
      </w:r>
      <m:oMath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8</m:t>
            </m:r>
          </m:den>
        </m:f>
        <m:sSub>
          <m:e>
            <m:r>
              <m:t>E</m:t>
            </m:r>
          </m:e>
          <m:sub>
            <m:r>
              <m:t>L</m:t>
            </m:r>
          </m:sub>
        </m:sSub>
        <m:r>
          <m:rPr>
            <m:sty m:val="p"/>
          </m:rPr>
          <m:t>+</m:t>
        </m:r>
        <m:f>
          <m:fPr>
            <m:type m:val="lin"/>
          </m:fPr>
          <m:num>
            <m:r>
              <m:t>5</m:t>
            </m:r>
          </m:num>
          <m:den>
            <m:r>
              <m:t>8</m:t>
            </m:r>
          </m:den>
        </m:f>
        <m:sSub>
          <m:e>
            <m:r>
              <m:t>E</m:t>
            </m:r>
          </m:e>
          <m:sub>
            <m:r>
              <m:t>T</m:t>
            </m:r>
          </m:sub>
        </m:sSub>
      </m:oMath>
      <w:r>
        <w:rPr>
          <w:rtl/>
        </w:rPr>
        <w:t xml:space="preserve">) به یک مدولِ همسانگردِ</w:t>
      </w:r>
      <w:r>
        <w:rPr>
          <w:rtl/>
        </w:rPr>
        <w:t xml:space="preserve"> </w:t>
      </w:r>
      <w:r>
        <w:rPr>
          <w:rtl/>
        </w:rPr>
        <w:t xml:space="preserve">مؤثر تقلیل یافته است؛ ورقهٔ نانوکامپوزیتیِ واقعی ذاتاً عرضاً‌همسانگرد است و این</w:t>
      </w:r>
      <w:r>
        <w:rPr>
          <w:rtl/>
        </w:rPr>
        <w:t xml:space="preserve"> </w:t>
      </w:r>
      <w:r>
        <w:rPr>
          <w:rtl/>
        </w:rPr>
        <w:t xml:space="preserve">ساده‌سازی می‌تواند پاسخِ محوری را اندکی جابه‌جا کند.</w:t>
      </w:r>
    </w:p>
    <w:p>
      <w:pPr>
        <w:pStyle w:val="Compact"/>
        <w:numPr>
          <w:ilvl w:val="0"/>
          <w:numId w:val="1003"/>
        </w:numPr>
        <w:bidi/>
      </w:pPr>
      <w:r>
        <w:rPr>
          <w:b/>
          <w:bCs/>
          <w:rtl/>
        </w:rPr>
        <w:t xml:space="preserve">پیوندِ ایده‌آلِ لایه‌ای.</w:t>
      </w:r>
      <w:r>
        <w:rPr>
          <w:rtl/>
        </w:rPr>
        <w:t xml:space="preserve"> </w:t>
      </w:r>
      <w:r>
        <w:rPr>
          <w:rtl/>
        </w:rPr>
        <w:t xml:space="preserve">فصل‌مشترک‌های بینِ لایه‌ها پیوستگیِ کاملِ دما، شار،</w:t>
      </w:r>
      <w:r>
        <w:rPr>
          <w:rtl/>
        </w:rPr>
        <w:t xml:space="preserve"> </w:t>
      </w:r>
      <w:r>
        <w:rPr>
          <w:rtl/>
        </w:rPr>
        <w:t xml:space="preserve">جابجایی و کشش دارند؛ مقاومتِ حرارتی/مکانیکیِ تماسیِ فصل‌مشترک — که در سازهٔ</w:t>
      </w:r>
      <w:r>
        <w:rPr>
          <w:rtl/>
        </w:rPr>
        <w:t xml:space="preserve"> </w:t>
      </w:r>
      <w:r>
        <w:rPr>
          <w:rtl/>
        </w:rPr>
        <w:t xml:space="preserve">لایه‌ایِ واقعی همواره حاضر است — در مدل لحاظ نشده است.</w:t>
      </w:r>
    </w:p>
    <w:p>
      <w:pPr>
        <w:pStyle w:val="Compact"/>
        <w:numPr>
          <w:ilvl w:val="0"/>
          <w:numId w:val="1003"/>
        </w:numPr>
        <w:bidi/>
      </w:pPr>
      <w:r>
        <w:rPr>
          <w:b/>
          <w:bCs/>
          <w:rtl/>
        </w:rPr>
        <w:t xml:space="preserve">صحت‌سنجیِ کیفیِ هستهٔ موجی.</w:t>
      </w:r>
      <w:r>
        <w:rPr>
          <w:rtl/>
        </w:rPr>
        <w:t xml:space="preserve"> </w:t>
      </w:r>
      <w:r>
        <w:rPr>
          <w:rtl/>
        </w:rPr>
        <w:t xml:space="preserve">مهم‌ترین ادعای این پژوهش — فراجهشِ موجِ صوتِ دوم —</w:t>
      </w:r>
      <w:r>
        <w:rPr>
          <w:rtl/>
        </w:rPr>
        <w:t xml:space="preserve"> </w:t>
      </w:r>
      <w:r>
        <w:rPr>
          <w:rtl/>
        </w:rPr>
        <w:t xml:space="preserve">تنها به‌صورتِ کیفی (تطابقِ روندِ سرعت و بازتاب) در برابرِ نتایجِ باقری و اسلامی</w:t>
      </w:r>
      <w:r>
        <w:rPr>
          <w:rtl/>
        </w:rPr>
        <w:t xml:space="preserve"> </w:t>
      </w:r>
      <w:r>
        <w:rPr>
          <w:rtl/>
        </w:rPr>
        <w:t xml:space="preserve">صحت‌سنجی شده است؛ سنجهٔ خطای کمّی برای همین آزمونِ خاص گزارش نشده است.</w:t>
      </w:r>
    </w:p>
    <w:p>
      <w:pPr>
        <w:pStyle w:val="Compact"/>
        <w:numPr>
          <w:ilvl w:val="0"/>
          <w:numId w:val="1003"/>
        </w:numPr>
        <w:bidi/>
      </w:pPr>
      <w:r>
        <w:rPr>
          <w:b/>
          <w:bCs/>
          <w:rtl/>
        </w:rPr>
        <w:t xml:space="preserve">الگوهای تخلخلِ منتخب.</w:t>
      </w:r>
      <w:r>
        <w:rPr>
          <w:rtl/>
        </w:rPr>
        <w:t xml:space="preserve"> </w:t>
      </w:r>
      <w:r>
        <w:rPr>
          <w:rtl/>
        </w:rPr>
        <w:t xml:space="preserve">الگوهای تخلخلِ به‌کاررفته (UD، O، X، V، A) بر پایهٔ</w:t>
      </w:r>
      <w:r>
        <w:rPr>
          <w:rtl/>
        </w:rPr>
        <w:t xml:space="preserve"> </w:t>
      </w:r>
      <w:r>
        <w:rPr>
          <w:rtl/>
        </w:rPr>
        <w:t xml:space="preserve">مدلِ استانداردِ سلول‌بازِ فومِ فلزی انتخاب شده‌اند؛ این یک فرضِ مدل‌سازیِ آگاهانه</w:t>
      </w:r>
      <w:r>
        <w:rPr>
          <w:rtl/>
        </w:rPr>
        <w:t xml:space="preserve"> </w:t>
      </w:r>
      <w:r>
        <w:rPr>
          <w:rtl/>
        </w:rPr>
        <w:t xml:space="preserve">است، نه بازتابِ کاملِ همهٔ ریزساختارهای متخلخلِ ممکن.</w:t>
      </w:r>
    </w:p>
    <w:p>
      <w:pPr>
        <w:pStyle w:val="Compact"/>
        <w:numPr>
          <w:ilvl w:val="0"/>
          <w:numId w:val="1003"/>
        </w:numPr>
        <w:bidi/>
      </w:pPr>
      <w:r>
        <w:rPr>
          <w:b/>
          <w:bCs/>
          <w:rtl/>
        </w:rPr>
        <w:t xml:space="preserve">دامنهٔ هندسی و بارگذاری.</w:t>
      </w:r>
      <w:r>
        <w:rPr>
          <w:rtl/>
        </w:rPr>
        <w:t xml:space="preserve"> </w:t>
      </w:r>
      <w:r>
        <w:rPr>
          <w:rtl/>
        </w:rPr>
        <w:t xml:space="preserve">پژوهش به استوانهٔ استوانه‌ایِ راست با تکیه‌گاه‌های</w:t>
      </w:r>
      <w:r>
        <w:rPr>
          <w:rtl/>
        </w:rPr>
        <w:t xml:space="preserve"> </w:t>
      </w:r>
      <w:r>
        <w:rPr>
          <w:rtl/>
        </w:rPr>
        <w:t xml:space="preserve">ساده/گیردار/مخلوط و بارگذاریِ محورمتقارنِ حرارتی-مکانیکی محدود است؛ هندسه‌های</w:t>
      </w:r>
      <w:r>
        <w:rPr>
          <w:rtl/>
        </w:rPr>
        <w:t xml:space="preserve"> </w:t>
      </w:r>
      <w:r>
        <w:rPr>
          <w:rtl/>
        </w:rPr>
        <w:t xml:space="preserve">مخروطی یا دوّار، بارگذاریِ غیرمتقارن و اثرهای کاملاً سه‌بعدی خارج از دامنهٔ این</w:t>
      </w:r>
      <w:r>
        <w:rPr>
          <w:rtl/>
        </w:rPr>
        <w:t xml:space="preserve"> </w:t>
      </w:r>
      <w:r>
        <w:rPr>
          <w:rtl/>
        </w:rPr>
        <w:t xml:space="preserve">کار قرار دارند.</w:t>
      </w:r>
    </w:p>
    <w:bookmarkEnd w:id="31"/>
    <w:bookmarkStart w:id="32" w:name="پیشنهادها-برای-پژوهشهای-آینده"/>
    <w:p>
      <w:pPr>
        <w:pStyle w:val="Heading2"/>
        <w:bidi/>
      </w:pPr>
      <w:r>
        <w:rPr>
          <w:rtl/>
        </w:rPr>
        <w:t xml:space="preserve">5-5. پیشنهادها برای پژوهش‌های آینده</w:t>
      </w:r>
    </w:p>
    <w:p>
      <w:pPr>
        <w:pStyle w:val="Compact"/>
        <w:numPr>
          <w:ilvl w:val="0"/>
          <w:numId w:val="1004"/>
        </w:numPr>
        <w:bidi/>
      </w:pPr>
      <w:r>
        <w:rPr>
          <w:b/>
          <w:bCs/>
          <w:rtl/>
        </w:rPr>
        <w:t xml:space="preserve">شرایط تکیه‌گاهیِ آزاد/غلتکی (F/R):</w:t>
      </w:r>
      <w:r>
        <w:rPr>
          <w:rtl/>
        </w:rPr>
        <w:t xml:space="preserve"> </w:t>
      </w:r>
      <w:r>
        <w:rPr>
          <w:rtl/>
        </w:rPr>
        <w:t xml:space="preserve">پیاده‌سازی پایدارِ این تکیه‌گاه‌ها و</w:t>
      </w:r>
      <w:r>
        <w:rPr>
          <w:rtl/>
        </w:rPr>
        <w:t xml:space="preserve"> </w:t>
      </w:r>
      <w:r>
        <w:rPr>
          <w:rtl/>
        </w:rPr>
        <w:t xml:space="preserve">افزودن یک مرجعِ حقیقیِ کرنش‌صفحه‌ای برای مقایسهٔ مستقیم با حد استوانهٔ</w:t>
      </w:r>
      <w:r>
        <w:rPr>
          <w:rtl/>
        </w:rPr>
        <w:t xml:space="preserve"> </w:t>
      </w:r>
      <w:r>
        <w:rPr>
          <w:rtl/>
        </w:rPr>
        <w:t xml:space="preserve">نامحدود.</w:t>
      </w:r>
    </w:p>
    <w:p>
      <w:pPr>
        <w:pStyle w:val="Compact"/>
        <w:numPr>
          <w:ilvl w:val="0"/>
          <w:numId w:val="1004"/>
        </w:numPr>
        <w:bidi/>
      </w:pPr>
      <w:r>
        <w:rPr>
          <w:b/>
          <w:bCs/>
          <w:rtl/>
        </w:rPr>
        <w:t xml:space="preserve">مونتاژ برداری‌شده:</w:t>
      </w:r>
      <w:r>
        <w:rPr>
          <w:rtl/>
        </w:rPr>
        <w:t xml:space="preserve"> </w:t>
      </w:r>
      <w:r>
        <w:rPr>
          <w:rtl/>
        </w:rPr>
        <w:t xml:space="preserve">بازنویسی حلقهٔ مونتاژ به‌صورت برداری برای کاهش زمان</w:t>
      </w:r>
      <w:r>
        <w:rPr>
          <w:rtl/>
        </w:rPr>
        <w:t xml:space="preserve"> </w:t>
      </w:r>
      <w:r>
        <w:rPr>
          <w:rtl/>
        </w:rPr>
        <w:t xml:space="preserve">محاسبه در شبکه‌های بزرگ‌تر و مطالعات پارامتری گسترده‌تر.</w:t>
      </w:r>
    </w:p>
    <w:p>
      <w:pPr>
        <w:pStyle w:val="Compact"/>
        <w:numPr>
          <w:ilvl w:val="0"/>
          <w:numId w:val="1004"/>
        </w:numPr>
        <w:bidi/>
      </w:pPr>
      <w:r>
        <w:rPr>
          <w:b/>
          <w:bCs/>
          <w:rtl/>
        </w:rPr>
        <w:t xml:space="preserve">خواص مادیِ وابسته به دما:</w:t>
      </w:r>
      <w:r>
        <w:rPr>
          <w:rtl/>
        </w:rPr>
        <w:t xml:space="preserve"> </w:t>
      </w:r>
      <w:r>
        <w:rPr>
          <w:rtl/>
        </w:rPr>
        <w:t xml:space="preserve">لحاظ‌کردن وابستگی مدول، هدایت و ضریب انبساط به</w:t>
      </w:r>
      <w:r>
        <w:rPr>
          <w:rtl/>
        </w:rPr>
        <w:t xml:space="preserve"> </w:t>
      </w:r>
      <w:r>
        <w:rPr>
          <w:rtl/>
        </w:rPr>
        <w:t xml:space="preserve">دما، که در بازهٔ دماییِ ۳۰۰ تا ۶۰۰ کلوین اثرگذار است.</w:t>
      </w:r>
    </w:p>
    <w:p>
      <w:pPr>
        <w:pStyle w:val="Compact"/>
        <w:numPr>
          <w:ilvl w:val="0"/>
          <w:numId w:val="1004"/>
        </w:numPr>
        <w:bidi/>
      </w:pPr>
      <w:r>
        <w:rPr>
          <w:b/>
          <w:bCs/>
          <w:rtl/>
        </w:rPr>
        <w:t xml:space="preserve">شرط مرزی تابش:</w:t>
      </w:r>
      <w:r>
        <w:rPr>
          <w:rtl/>
        </w:rPr>
        <w:t xml:space="preserve"> </w:t>
      </w:r>
      <w:r>
        <w:rPr>
          <w:rtl/>
        </w:rPr>
        <w:t xml:space="preserve">افزودن تبادل حرارت تابشیِ غیرخطی در سطح خارجی برای</w:t>
      </w:r>
      <w:r>
        <w:rPr>
          <w:rtl/>
        </w:rPr>
        <w:t xml:space="preserve"> </w:t>
      </w:r>
      <w:r>
        <w:rPr>
          <w:rtl/>
        </w:rPr>
        <w:t xml:space="preserve">کاربردهای دمابالا.</w:t>
      </w:r>
    </w:p>
    <w:p>
      <w:pPr>
        <w:pStyle w:val="Compact"/>
        <w:numPr>
          <w:ilvl w:val="0"/>
          <w:numId w:val="1004"/>
        </w:numPr>
        <w:bidi/>
      </w:pPr>
      <w:r>
        <w:rPr>
          <w:b/>
          <w:bCs/>
          <w:rtl/>
        </w:rPr>
        <w:t xml:space="preserve">مدل آسیب/شکست:</w:t>
      </w:r>
      <w:r>
        <w:rPr>
          <w:rtl/>
        </w:rPr>
        <w:t xml:space="preserve"> </w:t>
      </w:r>
      <w:r>
        <w:rPr>
          <w:rtl/>
        </w:rPr>
        <w:t xml:space="preserve">از آنجا که مدل ترموالاستیک خطیِ حاضر حتی در فشار ۱۰۰</w:t>
      </w:r>
      <w:r>
        <w:rPr>
          <w:rtl/>
        </w:rPr>
        <w:t xml:space="preserve"> </w:t>
      </w:r>
      <w:r>
        <w:rPr>
          <w:rtl/>
        </w:rPr>
        <w:t xml:space="preserve">مگاپاسکال گسستی نشان نمی‌دهد، افزودن یک مدل آسیب یا شکست برای پیش‌بینی گسست</w:t>
      </w:r>
      <w:r>
        <w:rPr>
          <w:rtl/>
        </w:rPr>
        <w:t xml:space="preserve"> </w:t>
      </w:r>
      <w:r>
        <w:rPr>
          <w:rtl/>
        </w:rPr>
        <w:t xml:space="preserve">(شکست/جدایش ماده) در بارهای بسیار زیاد ضروری است.</w:t>
      </w:r>
    </w:p>
    <w:p>
      <w:pPr>
        <w:pStyle w:val="Compact"/>
        <w:numPr>
          <w:ilvl w:val="0"/>
          <w:numId w:val="1004"/>
        </w:numPr>
        <w:bidi/>
      </w:pPr>
      <w:r>
        <w:rPr>
          <w:b/>
          <w:bCs/>
          <w:rtl/>
        </w:rPr>
        <w:t xml:space="preserve">الگوهای تخلخل به‌روزشده:</w:t>
      </w:r>
      <w:r>
        <w:rPr>
          <w:rtl/>
        </w:rPr>
        <w:t xml:space="preserve"> </w:t>
      </w:r>
      <w:r>
        <w:rPr>
          <w:rtl/>
        </w:rPr>
        <w:t xml:space="preserve">جایگزینی الگوهای تخلخل با الگوهای جدید فایل</w:t>
      </w:r>
      <w:r>
        <w:rPr>
          <w:rtl/>
        </w:rPr>
        <w:t xml:space="preserve"> </w:t>
      </w:r>
      <w:r>
        <w:rPr>
          <w:rtl/>
        </w:rPr>
        <w:t xml:space="preserve">مرجع و بازاجرای مطالعات تخلخل و برهم‌کنش.</w:t>
      </w:r>
    </w:p>
    <w:p>
      <w:pPr>
        <w:pStyle w:val="Compact"/>
        <w:numPr>
          <w:ilvl w:val="0"/>
          <w:numId w:val="1004"/>
        </w:numPr>
        <w:bidi/>
      </w:pPr>
      <w:r>
        <w:rPr>
          <w:b/>
          <w:bCs/>
          <w:rtl/>
        </w:rPr>
        <w:t xml:space="preserve">گسترش‌های هندسی و بارگذاری:</w:t>
      </w:r>
      <w:r>
        <w:rPr>
          <w:rtl/>
        </w:rPr>
        <w:t xml:space="preserve"> </w:t>
      </w:r>
      <w:r>
        <w:rPr>
          <w:rtl/>
        </w:rPr>
        <w:t xml:space="preserve">بررسی توزیع‌های پیوستهٔ مدرج تابعی، هندسه‌های</w:t>
      </w:r>
      <w:r>
        <w:rPr>
          <w:rtl/>
        </w:rPr>
        <w:t xml:space="preserve"> </w:t>
      </w:r>
      <w:r>
        <w:rPr>
          <w:rtl/>
        </w:rPr>
        <w:t xml:space="preserve">دیگر پلاکت، استوانهٔ دوّار و اثرهای سه‌بعدی.</w:t>
      </w:r>
    </w:p>
    <w:p>
      <w:pPr>
        <w:pStyle w:val="Compact"/>
        <w:numPr>
          <w:ilvl w:val="0"/>
          <w:numId w:val="1004"/>
        </w:numPr>
        <w:bidi/>
      </w:pPr>
      <w:r>
        <w:rPr>
          <w:b/>
          <w:bCs/>
          <w:rtl/>
        </w:rPr>
        <w:t xml:space="preserve">صحت‌سنجیِ آزمایشگاهی:</w:t>
      </w:r>
      <w:r>
        <w:rPr>
          <w:rtl/>
        </w:rPr>
        <w:t xml:space="preserve"> </w:t>
      </w:r>
      <w:r>
        <w:rPr>
          <w:rtl/>
        </w:rPr>
        <w:t xml:space="preserve">ساختِ نمونه‌های فیزیکیِ استوانهٔ چندلایهٔ متخلخلِ</w:t>
      </w:r>
      <w:r>
        <w:rPr>
          <w:rtl/>
        </w:rPr>
        <w:t xml:space="preserve"> </w:t>
      </w:r>
      <w:r>
        <w:rPr>
          <w:rtl/>
        </w:rPr>
        <w:t xml:space="preserve">تقویت‌شده با گرافن و آزمونِ آن‌ها زیرِ شوکِ حرارتیِ واقعی (مثلاً منبعِ لیزری یا</w:t>
      </w:r>
      <w:r>
        <w:rPr>
          <w:rtl/>
        </w:rPr>
        <w:t xml:space="preserve"> </w:t>
      </w:r>
      <w:r>
        <w:rPr>
          <w:rtl/>
        </w:rPr>
        <w:t xml:space="preserve">القایی) برای اندازه‌گیریِ مستقیمِ فراجهشِ موجِ صوتِ دوم و صحت‌سنجیِ کمّیِ مدل؛</w:t>
      </w:r>
      <w:r>
        <w:rPr>
          <w:rtl/>
        </w:rPr>
        <w:t xml:space="preserve"> </w:t>
      </w:r>
      <w:r>
        <w:rPr>
          <w:rtl/>
        </w:rPr>
        <w:t xml:space="preserve">همچنین اندازه‌گیریِ آزمایشگاهیِ زمانِ تخفیفِ</w:t>
      </w:r>
      <w:r>
        <w:rPr>
          <w:rtl/>
        </w:rP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برای این ترکیبِ مادیِ</w:t>
      </w:r>
      <w:r>
        <w:rPr>
          <w:rtl/>
        </w:rPr>
        <w:t xml:space="preserve"> </w:t>
      </w:r>
      <w:r>
        <w:rPr>
          <w:rtl/>
        </w:rPr>
        <w:t xml:space="preserve">خاص (با روشِ فلشِ لیزری یا DSC)، که هم‌اکنون تنها یک پارامترِ نظری است.</w:t>
      </w:r>
    </w:p>
    <w:p>
      <w:pPr>
        <w:pStyle w:val="Compact"/>
        <w:numPr>
          <w:ilvl w:val="0"/>
          <w:numId w:val="1004"/>
        </w:numPr>
        <w:bidi/>
      </w:pPr>
      <w:r>
        <w:rPr>
          <w:b/>
          <w:bCs/>
          <w:rtl/>
        </w:rPr>
        <w:t xml:space="preserve">راهنمای طراحیِ کاربردی:</w:t>
      </w:r>
      <w:r>
        <w:rPr>
          <w:rtl/>
        </w:rPr>
        <w:t xml:space="preserve"> </w:t>
      </w:r>
      <w:r>
        <w:rPr>
          <w:rtl/>
        </w:rPr>
        <w:t xml:space="preserve">تبدیلِ یافتهٔ طراحیِ این پژوهش (هم‌افزاییِ گرافنِ</w:t>
      </w:r>
      <w:r>
        <w:rPr>
          <w:rtl/>
        </w:rPr>
        <w:t xml:space="preserve"> </w:t>
      </w:r>
      <w:r>
        <w:rPr>
          <w:rtl/>
        </w:rPr>
        <w:t xml:space="preserve">V و تخلخلِ A) به یک نمودار یا جدولِ گزینشِ سادهٔ مهندسی برای طراحانِ لایه‌های</w:t>
      </w:r>
      <w:r>
        <w:rPr>
          <w:rtl/>
        </w:rPr>
        <w:t xml:space="preserve"> </w:t>
      </w:r>
      <w:r>
        <w:rPr>
          <w:rtl/>
        </w:rPr>
        <w:t xml:space="preserve">حفاظتِ حرارتی (مانندِ پوششِ داخلیِ رآکتورهای هسته‌ای، پنل‌های حفاظتِ حرارتیِ</w:t>
      </w:r>
      <w:r>
        <w:rPr>
          <w:rtl/>
        </w:rPr>
        <w:t xml:space="preserve"> </w:t>
      </w:r>
      <w:r>
        <w:rPr>
          <w:rtl/>
        </w:rPr>
        <w:t xml:space="preserve">وسایلِ ابرصوتی یا مبدل‌های حرارتیِ صنعتی)، بدونِ نیاز به اجرای کاملِ حل‌گر برای</w:t>
      </w:r>
      <w:r>
        <w:rPr>
          <w:rtl/>
        </w:rPr>
        <w:t xml:space="preserve"> </w:t>
      </w:r>
      <w:r>
        <w:rPr>
          <w:rtl/>
        </w:rPr>
        <w:t xml:space="preserve">هر مورد؛ و بررسیِ موردی روی هندسه‌های استانداردِ صنعتی (مانندِ استانداردهای</w:t>
      </w:r>
      <w:r>
        <w:rPr>
          <w:rtl/>
        </w:rPr>
        <w:t xml:space="preserve"> </w:t>
      </w:r>
      <w:r>
        <w:rPr>
          <w:rtl/>
        </w:rPr>
        <w:t xml:space="preserve">ASME) برای ارائهٔ اعدادِ مستقیماً قابلِ استفاده به‌جای تنها حالتِ مرجعِ بی‌بعد.</w:t>
      </w:r>
    </w:p>
    <w:bookmarkEnd w:id="32"/>
    <w:bookmarkEnd w:id="33"/>
    <w:sectPr w:rsidR="00A47E2E" w:rsidRPr="00CE3E70" w:rsidSect="008F7DFB">
      <w:headerReference r:id="rId9" w:type="default"/>
      <w:footerReference r:id="rId10" w:type="default"/>
      <w:footnotePr>
        <w:numRestart w:val="eachPage"/>
      </w:footnotePr>
      <w:pgSz w:code="9" w:h="16840" w:w="11907"/>
      <w:pgMar w:bottom="1701" w:footer="720" w:gutter="0" w:header="720" w:left="1701" w:right="2268" w:top="3939"/>
      <w:cols w:space="720"/>
      <w:bidi/>
      <w:rtlGutter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3B736DE2-80C7-4C74-9A2E-9852BF6A725B}"/>
    <w:embedBold r:id="rId2" w:fontKey="{E9B8F894-6E6B-4C20-903F-BBCF7C3E8F0A}"/>
    <w:embedItalic r:id="rId3" w:fontKey="{CCCB29C5-C97A-4576-BAFD-39A01C043DD5}"/>
    <w:embedBoldItalic r:id="rId4" w:fontKey="{F90682A7-868B-4BBE-BD8A-F7E5B8F11FFA}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5" w:fontKey="{00AE9C55-8B7F-429A-989B-029BBEBD9107}"/>
    <w:embedBold r:id="rId6" w:fontKey="{A22DBD88-3BC4-46E3-A3C8-BEA07B810316}"/>
    <w:embedBoldItalic r:id="rId7" w:fontKey="{7CB32BE3-BFC7-4508-B650-BB9BCE9F5B10}"/>
  </w:font>
  <w:font w:name="B Nazanin">
    <w:panose1 w:val="00000700000000000000"/>
    <w:charset w:val="B2"/>
    <w:family w:val="auto"/>
    <w:pitch w:val="variable"/>
    <w:sig w:usb0="00002001" w:usb1="80000000" w:usb2="00000008" w:usb3="00000000" w:csb0="00000040" w:csb1="00000000"/>
    <w:embedRegular r:id="rId8" w:fontKey="{D559CDC4-783B-4EC0-AC5F-8CEC725A4C79}"/>
    <w:embedBold r:id="rId9" w:fontKey="{3E40936C-D9BF-46EA-8F0B-936D994DDA7E}"/>
    <w:embedItalic r:id="rId10" w:fontKey="{47A65102-1634-42BD-90EF-D8BFBBB8849D}"/>
    <w:embedBoldItalic r:id="rId11" w:fontKey="{513286B6-6D12-44B1-B45B-D7FBE44D9B9A}"/>
  </w:font>
  <w:font w:name="B Kourosh">
    <w:altName w:val="Arial"/>
    <w:charset w:val="B2"/>
    <w:family w:val="auto"/>
    <w:pitch w:val="variable"/>
    <w:sig w:usb0="00002001" w:usb1="80000000" w:usb2="00000008" w:usb3="00000000" w:csb0="00000040" w:csb1="00000000"/>
    <w:embedRegular r:id="rId12" w:fontKey="{CDD4E0C1-3B47-491F-90A8-4D81C874A3C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3" w:fontKey="{59441DF5-3BFA-4FA3-B3AF-CF01ACEE5F06}"/>
  </w:font>
  <w:font w:name="B Titr">
    <w:altName w:val="Courier New"/>
    <w:charset w:val="B2"/>
    <w:family w:val="auto"/>
    <w:pitch w:val="variable"/>
    <w:sig w:usb0="00002000" w:usb1="80000000" w:usb2="00000008" w:usb3="00000000" w:csb0="00000040" w:csb1="00000000"/>
    <w:embedRegular r:id="rId14" w:fontKey="{709AD808-78AD-4A99-B936-3A67F6BF63F9}"/>
    <w:embedBold r:id="rId15" w:fontKey="{C8D72ADB-7CCE-499F-A8BA-031E1288885D}"/>
  </w:font>
  <w:font w:name="IranNastaliq">
    <w:altName w:val="Arial Unicode MS"/>
    <w:charset w:val="00"/>
    <w:family w:val="roman"/>
    <w:pitch w:val="variable"/>
    <w:sig w:usb0="00000000" w:usb1="80000000" w:usb2="00000008" w:usb3="00000000" w:csb0="000101FF" w:csb1="00000000"/>
    <w:embedRegular r:id="rId16" w:fontKey="{23424EBC-F78E-434E-9EAD-72009F93DAD9}"/>
    <w:embedBold r:id="rId17" w:fontKey="{E1BBED75-B7E7-427E-8977-5F44F6BD98FC}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  <w:embedRegular r:id="rId18" w:fontKey="{9188D3E0-DDE2-4ACC-87B0-C7044EB236E3}"/>
    <w:embedBold r:id="rId19" w:fontKey="{CD322E49-A6B5-4047-96A6-263259DD6577}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20" w:fontKey="{3EAC404D-B0A2-4EAE-9B51-DCE7BFAB21C9}"/>
    <w:embedItalic r:id="rId21" w:fontKey="{FF971F42-59E0-4F57-8057-D7138C5AA057}"/>
  </w:font>
  <w:font w:name="Buxton Sketch">
    <w:altName w:val="Mistral"/>
    <w:charset w:val="00"/>
    <w:family w:val="script"/>
    <w:pitch w:val="variable"/>
    <w:sig w:usb0="00000001" w:usb1="400020DB" w:usb2="00000000" w:usb3="00000000" w:csb0="0000009F" w:csb1="00000000"/>
    <w:embedRegular r:id="rId22" w:fontKey="{95D05FE7-BF95-43AB-9091-0386F40DA61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23" w:fontKey="{6938E339-78A4-497F-B348-327D7AB6AD4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70DF0E" w14:textId="77777777" w:rsidR="00CD399F" w:rsidRDefault="00CD399F" w:rsidP="004211D4">
    <w:pPr>
      <w:pStyle w:val="Footer"/>
    </w:pPr>
  </w:p>
  <w:p w14:paraId="6C29CD3D" w14:textId="77777777" w:rsidR="00CD399F" w:rsidRDefault="00CD399F" w:rsidP="007C3B8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74ED32A" w14:textId="77777777" w:rsidR="00CD399F" w:rsidRDefault="00CD399F" w:rsidP="004211D4">
    <w:pPr>
      <w:pStyle w:val="Footer"/>
    </w:pPr>
  </w:p>
  <w:p w14:paraId="4607B3AC" w14:textId="77777777" w:rsidR="00CD399F" w:rsidRDefault="00CD399F" w:rsidP="007C3B8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99E6925" w14:textId="77777777" w:rsidR="00CD399F" w:rsidRDefault="00CD399F" w:rsidP="004211D4">
    <w:pPr>
      <w:pStyle w:val="Footer"/>
    </w:pPr>
  </w:p>
  <w:p w14:paraId="7D349DFC" w14:textId="77777777" w:rsidR="00CD399F" w:rsidRDefault="00CD399F" w:rsidP="007C3B87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C3B10B9" w14:textId="77777777" w:rsidR="00CD399F" w:rsidRDefault="00CD399F" w:rsidP="004211D4">
    <w:pPr>
      <w:pStyle w:val="Footer"/>
    </w:pPr>
  </w:p>
  <w:p w14:paraId="10FD7435" w14:textId="77777777" w:rsidR="00CD399F" w:rsidRDefault="00CD399F" w:rsidP="007C3B87">
    <w:pPr>
      <w:pStyle w:val="Footer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65635496"/>
      <w:docPartObj>
        <w:docPartGallery w:val="Page Numbers (Bottom of Page)"/>
        <w:docPartUnique/>
      </w:docPartObj>
    </w:sdtPr>
    <w:sdtEndPr/>
    <w:sdtContent>
      <w:p w14:paraId="05D7E643" w14:textId="472948D6" w:rsidR="00CD399F" w:rsidRPr="00CE3E70" w:rsidRDefault="00CD399F" w:rsidP="00CE3E70">
        <w:pPr>
          <w:pStyle w:val="Footer"/>
        </w:pPr>
        <w:r w:rsidRPr="00CE3E70">
          <w:rPr>
            <w:noProof/>
            <w:lang w:bidi="ar-SA"/>
          </w:rPr>
          <w:drawing>
            <wp:anchor distT="0" distB="0" distL="114300" distR="114300" simplePos="0" relativeHeight="251659776" behindDoc="0" locked="0" layoutInCell="1" allowOverlap="1" wp14:anchorId="24CE45BE" wp14:editId="18564991">
              <wp:simplePos x="0" y="0"/>
              <wp:positionH relativeFrom="column">
                <wp:posOffset>-435346</wp:posOffset>
              </wp:positionH>
              <wp:positionV relativeFrom="paragraph">
                <wp:posOffset>25400</wp:posOffset>
              </wp:positionV>
              <wp:extent cx="451485" cy="394335"/>
              <wp:effectExtent l="0" t="0" r="5715" b="5715"/>
              <wp:wrapNone/>
              <wp:docPr id="13" name="Picture 1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GULogo copy.gif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1485" cy="3943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CE3E70">
          <w:fldChar w:fldCharType="begin"/>
        </w:r>
        <w:r w:rsidRPr="00CE3E70">
          <w:instrText xml:space="preserve"> PAGE   \* MERGEFORMAT </w:instrText>
        </w:r>
        <w:r w:rsidRPr="00CE3E70">
          <w:fldChar w:fldCharType="separate"/>
        </w:r>
        <w:r w:rsidR="008F7DFB">
          <w:rPr>
            <w:rFonts w:hint="cs"/>
            <w:noProof/>
            <w:rtl/>
          </w:rPr>
          <w:t>‌ح</w:t>
        </w:r>
        <w:r w:rsidRPr="00CE3E70">
          <w:fldChar w:fldCharType="end"/>
        </w:r>
      </w:p>
    </w:sdtContent>
  </w:sdt>
  <w:p w14:paraId="46A94945" w14:textId="77777777" w:rsidR="00CD399F" w:rsidRDefault="00CD399F" w:rsidP="007C3B87">
    <w:pPr>
      <w:pStyle w:val="Footer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tl/>
      </w:rPr>
      <w:id w:val="-2101713025"/>
      <w:docPartObj>
        <w:docPartGallery w:val="Page Numbers (Bottom of Page)"/>
        <w:docPartUnique/>
      </w:docPartObj>
    </w:sdtPr>
    <w:sdtEndPr/>
    <w:sdtContent>
      <w:p w14:paraId="4E4F50B0" w14:textId="0A8C86ED" w:rsidR="00CD399F" w:rsidRPr="00CE3E70" w:rsidRDefault="00CD399F" w:rsidP="00CE3E70">
        <w:pPr>
          <w:pStyle w:val="Footer"/>
          <w:bidi/>
          <w:jc w:val="right"/>
        </w:pPr>
        <w:r w:rsidRPr="00CE3E70">
          <w:rPr>
            <w:noProof/>
            <w:lang w:bidi="ar-SA"/>
          </w:rPr>
          <w:drawing>
            <wp:anchor distT="0" distB="0" distL="114300" distR="114300" simplePos="0" relativeHeight="251658752" behindDoc="0" locked="0" layoutInCell="1" allowOverlap="1" wp14:anchorId="4150F45A" wp14:editId="59BAEEC5">
              <wp:simplePos x="0" y="0"/>
              <wp:positionH relativeFrom="column">
                <wp:posOffset>-454574</wp:posOffset>
              </wp:positionH>
              <wp:positionV relativeFrom="paragraph">
                <wp:posOffset>-36041</wp:posOffset>
              </wp:positionV>
              <wp:extent cx="451485" cy="394335"/>
              <wp:effectExtent l="0" t="0" r="5715" b="5715"/>
              <wp:wrapNone/>
              <wp:docPr id="2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GULogo copy.gif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1485" cy="3943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CE3E70">
          <w:fldChar w:fldCharType="begin"/>
        </w:r>
        <w:r w:rsidRPr="00CE3E70">
          <w:instrText xml:space="preserve"> PAGE   \* MERGEFORMAT </w:instrText>
        </w:r>
        <w:r w:rsidRPr="00CE3E70">
          <w:fldChar w:fldCharType="separate"/>
        </w:r>
        <w:r w:rsidR="008F7DFB">
          <w:rPr>
            <w:noProof/>
            <w:rtl/>
          </w:rPr>
          <w:t>29</w:t>
        </w:r>
        <w:r w:rsidRPr="00CE3E70">
          <w:fldChar w:fldCharType="end"/>
        </w:r>
      </w:p>
    </w:sdtContent>
  </w:sdt>
  <w:p w14:paraId="53D757CA" w14:textId="77777777" w:rsidR="00CD399F" w:rsidRDefault="00CD399F" w:rsidP="007C3B87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6ED88A" w14:textId="77777777" w:rsidR="00CD399F" w:rsidRPr="004211D4" w:rsidRDefault="00CD399F" w:rsidP="004211D4">
    <w:pPr>
      <w:pStyle w:val="Header"/>
    </w:pPr>
    <w:r>
      <w:rPr>
        <w:noProof/>
        <w:lang w:bidi="ar-SA"/>
      </w:rPr>
      <w:drawing>
        <wp:anchor distT="0" distB="0" distL="114300" distR="114300" simplePos="0" relativeHeight="251660800" behindDoc="0" locked="0" layoutInCell="1" allowOverlap="1" wp14:anchorId="36C8BA68" wp14:editId="4DA3ED2A">
          <wp:simplePos x="0" y="0"/>
          <wp:positionH relativeFrom="column">
            <wp:posOffset>2017423</wp:posOffset>
          </wp:positionH>
          <wp:positionV relativeFrom="paragraph">
            <wp:posOffset>859582</wp:posOffset>
          </wp:positionV>
          <wp:extent cx="893929" cy="1171410"/>
          <wp:effectExtent l="0" t="0" r="1905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GUlogo2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3929" cy="1171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CF0266" w14:textId="61331898" w:rsidR="00CD399F" w:rsidRDefault="00D44D81" w:rsidP="00D44D81">
    <w:pPr>
      <w:pStyle w:val="Header"/>
      <w:tabs>
        <w:tab w:val="clear" w:pos="4680"/>
        <w:tab w:val="clear" w:pos="9360"/>
        <w:tab w:val="left" w:pos="3478"/>
      </w:tabs>
    </w:pPr>
    <w:r>
      <w:tab/>
    </w:r>
  </w:p>
  <w:p w14:paraId="0A9BF300" w14:textId="77777777" w:rsidR="00CD399F" w:rsidRDefault="00CD399F" w:rsidP="004211D4">
    <w:pPr>
      <w:pStyle w:val="Header"/>
    </w:pP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1EAC70AF"/>
    <w:multiLevelType w:val="multilevel"/>
    <w:tmpl w:val="20363D1C"/>
    <w:lvl w:ilvl="0">
      <w:start w:val="1"/>
      <w:numFmt w:val="decimal"/>
      <w:pStyle w:val="a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hanging="360" w:left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hanging="360" w:left="1080"/>
      </w:pPr>
      <w:rPr>
        <w:rFonts w:hint="default"/>
      </w:rPr>
    </w:lvl>
    <w:lvl w:ilvl="3">
      <w:start w:val="1"/>
      <w:numFmt w:val="decimal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:abstractNumId="1">
    <w:nsid w:val="50714E98"/>
    <w:multiLevelType w:val="multilevel"/>
    <w:tmpl w:val="C34499FE"/>
    <w:lvl w:ilvl="0">
      <w:start w:val="1"/>
      <w:numFmt w:val="decimal"/>
      <w:lvlText w:val="%1."/>
      <w:lvlJc w:val="left"/>
      <w:pPr>
        <w:ind w:hanging="765" w:left="765"/>
      </w:pPr>
      <w:rPr>
        <w:rFonts w:hint="default"/>
      </w:rPr>
    </w:lvl>
    <w:lvl w:ilvl="1">
      <w:start w:val="1"/>
      <w:numFmt w:val="decimal"/>
      <w:lvlText w:val="%1.%2."/>
      <w:lvlJc w:val="left"/>
      <w:pPr>
        <w:ind w:hanging="765" w:left="76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765" w:left="76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765" w:left="76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800" w:left="1800"/>
      </w:pPr>
      <w:rPr>
        <w:rFonts w:hint="default"/>
      </w:rPr>
    </w:lvl>
  </w:abstractNum>
  <w:abstractNum w:abstractNumId="2">
    <w:nsid w:val="51D06BC3"/>
    <w:multiLevelType w:val="multilevel"/>
    <w:tmpl w:val="B95CB32C"/>
    <w:lvl w:ilvl="0">
      <w:start w:val="1"/>
      <w:numFmt w:val="decimal"/>
      <w:lvlText w:val="%1-"/>
      <w:lvlJc w:val="left"/>
      <w:pPr>
        <w:ind w:hanging="555" w:left="555"/>
      </w:pPr>
      <w:rPr>
        <w:rFonts w:hint="default"/>
      </w:rPr>
    </w:lvl>
    <w:lvl w:ilvl="1">
      <w:start w:val="1"/>
      <w:numFmt w:val="decimal"/>
      <w:lvlText w:val="%1-%2."/>
      <w:lvlJc w:val="left"/>
      <w:pPr>
        <w:ind w:hanging="720" w:left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hanging="1080" w:left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hanging="1080" w:left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hanging="1440" w:left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hanging="1800" w:left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hanging="1800" w:left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hanging="2160" w:left="216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hanging="2160" w:left="2160"/>
      </w:pPr>
      <w:rPr>
        <w:rFonts w:hint="default"/>
      </w:rPr>
    </w:lvl>
  </w:abstractNum>
  <w:abstractNum w:abstractNumId="3">
    <w:nsid w:val="5D457A86"/>
    <w:multiLevelType w:val="multilevel"/>
    <w:tmpl w:val="6FB261A6"/>
    <w:lvl w:ilvl="0">
      <w:start w:val="1"/>
      <w:numFmt w:val="decimal"/>
      <w:lvlText w:val="%1-"/>
      <w:lvlJc w:val="left"/>
      <w:pPr>
        <w:ind w:hanging="555" w:left="555"/>
      </w:pPr>
      <w:rPr>
        <w:rFonts w:hint="default"/>
      </w:rPr>
    </w:lvl>
    <w:lvl w:ilvl="1">
      <w:start w:val="1"/>
      <w:numFmt w:val="decimal"/>
      <w:lvlText w:val="%1-%2."/>
      <w:lvlJc w:val="left"/>
      <w:pPr>
        <w:ind w:hanging="720" w:left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hanging="1080" w:left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hanging="1080" w:left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hanging="1440" w:left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hanging="1800" w:left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hanging="1800" w:left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hanging="2160" w:left="216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hanging="2160" w:left="2160"/>
      </w:pPr>
      <w:rPr>
        <w:rFonts w:hint="default"/>
      </w:rPr>
    </w:lvl>
  </w:abstractNum>
  <w:abstractNum w:abstractNumId="4">
    <w:nsid w:val="69DF5363"/>
    <w:multiLevelType w:val="hybridMultilevel"/>
    <w:tmpl w:val="6ED8C41E"/>
    <w:lvl w:ilvl="0" w:tplc="06B47CD0">
      <w:start w:val="1"/>
      <w:numFmt w:val="decimal"/>
      <w:pStyle w:val="a0"/>
      <w:lvlText w:val="%1)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5">
    <w:nsid w:val="7B8B69C2"/>
    <w:multiLevelType w:val="hybridMultilevel"/>
    <w:tmpl w:val="E5FA6AFC"/>
    <w:lvl w:ilvl="0" w:tplc="1CB0E894">
      <w:start w:val="1"/>
      <w:numFmt w:val="bullet"/>
      <w:pStyle w:val="a1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 w:numId="6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0"/>
  <w:embedTrueTypeFonts/>
  <w:embedSystemFonts/>
  <w:hideSpellingErrors/>
  <w:proofState w:grammar="clean"/>
  <w:stylePaneFormatFilter w:val="0004"/>
  <w:doNotTrackMoves/>
  <w:documentProtection w:enforcement="0" w:formatting="1"/>
  <w:defaultTabStop w:val="720"/>
  <w:clickAndTypeStyle w:val="a2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49" v:ext="edit"/>
  </w:hdrShapeDefaults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IEEE&lt;/Style&gt;&lt;LeftDelim&gt;{&lt;/LeftDelim&gt;&lt;RightDelim&gt;}&lt;/RightDelim&gt;&lt;FontName&gt;Times New Roman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0&lt;/HyperlinksVisible&gt;&lt;EnableBibliographyCategories&gt;0&lt;/EnableBibliographyCategories&gt;&lt;/ENLayout&gt;"/>
    <w:docVar w:name="EN.Libraries" w:val="&lt;Libraries&gt;&lt;item db-id=&quot;paswfxt9hs2xv0efdeoxrtw29w5zf9zddwxs&quot;&gt;porposal&lt;record-ids&gt;&lt;item&gt;4&lt;/item&gt;&lt;item&gt;5&lt;/item&gt;&lt;item&gt;6&lt;/item&gt;&lt;item&gt;8&lt;/item&gt;&lt;item&gt;9&lt;/item&gt;&lt;item&gt;10&lt;/item&gt;&lt;item&gt;11&lt;/item&gt;&lt;item&gt;12&lt;/item&gt;&lt;item&gt;13&lt;/item&gt;&lt;item&gt;14&lt;/item&gt;&lt;item&gt;15&lt;/item&gt;&lt;item&gt;16&lt;/item&gt;&lt;item&gt;17&lt;/item&gt;&lt;item&gt;18&lt;/item&gt;&lt;item&gt;19&lt;/item&gt;&lt;item&gt;20&lt;/item&gt;&lt;item&gt;21&lt;/item&gt;&lt;item&gt;22&lt;/item&gt;&lt;item&gt;23&lt;/item&gt;&lt;item&gt;24&lt;/item&gt;&lt;item&gt;26&lt;/item&gt;&lt;item&gt;28&lt;/item&gt;&lt;item&gt;29&lt;/item&gt;&lt;item&gt;30&lt;/item&gt;&lt;item&gt;31&lt;/item&gt;&lt;item&gt;32&lt;/item&gt;&lt;item&gt;33&lt;/item&gt;&lt;item&gt;34&lt;/item&gt;&lt;item&gt;35&lt;/item&gt;&lt;item&gt;37&lt;/item&gt;&lt;item&gt;38&lt;/item&gt;&lt;item&gt;39&lt;/item&gt;&lt;item&gt;40&lt;/item&gt;&lt;item&gt;42&lt;/item&gt;&lt;item&gt;44&lt;/item&gt;&lt;item&gt;45&lt;/item&gt;&lt;item&gt;47&lt;/item&gt;&lt;item&gt;49&lt;/item&gt;&lt;item&gt;50&lt;/item&gt;&lt;item&gt;51&lt;/item&gt;&lt;item&gt;52&lt;/item&gt;&lt;item&gt;53&lt;/item&gt;&lt;item&gt;55&lt;/item&gt;&lt;item&gt;56&lt;/item&gt;&lt;item&gt;58&lt;/item&gt;&lt;item&gt;59&lt;/item&gt;&lt;item&gt;60&lt;/item&gt;&lt;item&gt;62&lt;/item&gt;&lt;item&gt;63&lt;/item&gt;&lt;item&gt;64&lt;/item&gt;&lt;item&gt;65&lt;/item&gt;&lt;item&gt;66&lt;/item&gt;&lt;item&gt;67&lt;/item&gt;&lt;item&gt;68&lt;/item&gt;&lt;item&gt;69&lt;/item&gt;&lt;item&gt;70&lt;/item&gt;&lt;item&gt;72&lt;/item&gt;&lt;item&gt;73&lt;/item&gt;&lt;item&gt;74&lt;/item&gt;&lt;item&gt;75&lt;/item&gt;&lt;item&gt;76&lt;/item&gt;&lt;item&gt;78&lt;/item&gt;&lt;item&gt;79&lt;/item&gt;&lt;item&gt;80&lt;/item&gt;&lt;item&gt;82&lt;/item&gt;&lt;item&gt;83&lt;/item&gt;&lt;item&gt;84&lt;/item&gt;&lt;item&gt;85&lt;/item&gt;&lt;item&gt;86&lt;/item&gt;&lt;item&gt;87&lt;/item&gt;&lt;item&gt;88&lt;/item&gt;&lt;item&gt;89&lt;/item&gt;&lt;item&gt;90&lt;/item&gt;&lt;item&gt;91&lt;/item&gt;&lt;item&gt;92&lt;/item&gt;&lt;item&gt;93&lt;/item&gt;&lt;item&gt;94&lt;/item&gt;&lt;item&gt;95&lt;/item&gt;&lt;item&gt;96&lt;/item&gt;&lt;/record-ids&gt;&lt;/item&gt;&lt;/Libraries&gt;"/>
  </w:docVars>
  <w:rsids>
    <w:rsidRoot w:val="00A47E2E"/>
    <w:rsid w:val="00000C57"/>
    <w:rsid w:val="000127D7"/>
    <w:rsid w:val="0001325C"/>
    <w:rsid w:val="00013DAB"/>
    <w:rsid w:val="0001619F"/>
    <w:rsid w:val="00023EB4"/>
    <w:rsid w:val="000328BE"/>
    <w:rsid w:val="00037EC4"/>
    <w:rsid w:val="000404AB"/>
    <w:rsid w:val="00041285"/>
    <w:rsid w:val="00051A0A"/>
    <w:rsid w:val="0005400C"/>
    <w:rsid w:val="00054A81"/>
    <w:rsid w:val="000612C9"/>
    <w:rsid w:val="00070F25"/>
    <w:rsid w:val="00085B4B"/>
    <w:rsid w:val="0009760A"/>
    <w:rsid w:val="000A4045"/>
    <w:rsid w:val="000A5BF1"/>
    <w:rsid w:val="000C3214"/>
    <w:rsid w:val="000C7955"/>
    <w:rsid w:val="000D20CC"/>
    <w:rsid w:val="000E04C7"/>
    <w:rsid w:val="000F05B0"/>
    <w:rsid w:val="000F0FDE"/>
    <w:rsid w:val="000F15A1"/>
    <w:rsid w:val="000F3FAA"/>
    <w:rsid w:val="001115D0"/>
    <w:rsid w:val="00120AAC"/>
    <w:rsid w:val="001244BB"/>
    <w:rsid w:val="00130E00"/>
    <w:rsid w:val="001348AB"/>
    <w:rsid w:val="00135F91"/>
    <w:rsid w:val="00142775"/>
    <w:rsid w:val="00157B90"/>
    <w:rsid w:val="00165046"/>
    <w:rsid w:val="00172583"/>
    <w:rsid w:val="00181F07"/>
    <w:rsid w:val="001868B1"/>
    <w:rsid w:val="00190B04"/>
    <w:rsid w:val="00190C53"/>
    <w:rsid w:val="001938EF"/>
    <w:rsid w:val="00195476"/>
    <w:rsid w:val="001B4103"/>
    <w:rsid w:val="001D6161"/>
    <w:rsid w:val="001D6B74"/>
    <w:rsid w:val="001E6E30"/>
    <w:rsid w:val="001F13FF"/>
    <w:rsid w:val="001F2140"/>
    <w:rsid w:val="00200E5B"/>
    <w:rsid w:val="00206FE7"/>
    <w:rsid w:val="0021795F"/>
    <w:rsid w:val="002218C1"/>
    <w:rsid w:val="002263D5"/>
    <w:rsid w:val="002322B8"/>
    <w:rsid w:val="00241C0C"/>
    <w:rsid w:val="00252C7A"/>
    <w:rsid w:val="00257DDE"/>
    <w:rsid w:val="002642DB"/>
    <w:rsid w:val="00266705"/>
    <w:rsid w:val="00274587"/>
    <w:rsid w:val="0027626C"/>
    <w:rsid w:val="0028573D"/>
    <w:rsid w:val="00287115"/>
    <w:rsid w:val="002A60FD"/>
    <w:rsid w:val="002B2E93"/>
    <w:rsid w:val="002B5FC8"/>
    <w:rsid w:val="002B64BF"/>
    <w:rsid w:val="002C20CD"/>
    <w:rsid w:val="002C56AD"/>
    <w:rsid w:val="002D1D4A"/>
    <w:rsid w:val="002D47B7"/>
    <w:rsid w:val="002D5380"/>
    <w:rsid w:val="002D685F"/>
    <w:rsid w:val="002D75C2"/>
    <w:rsid w:val="002E2813"/>
    <w:rsid w:val="002E32C1"/>
    <w:rsid w:val="002E4F91"/>
    <w:rsid w:val="002E5533"/>
    <w:rsid w:val="002F603C"/>
    <w:rsid w:val="002F7DF3"/>
    <w:rsid w:val="003134E8"/>
    <w:rsid w:val="00323A3D"/>
    <w:rsid w:val="00324D9B"/>
    <w:rsid w:val="00331A7C"/>
    <w:rsid w:val="00342BF3"/>
    <w:rsid w:val="0034528D"/>
    <w:rsid w:val="00345CA5"/>
    <w:rsid w:val="00352519"/>
    <w:rsid w:val="003674A8"/>
    <w:rsid w:val="0037070D"/>
    <w:rsid w:val="0037532B"/>
    <w:rsid w:val="00383C4B"/>
    <w:rsid w:val="0038454E"/>
    <w:rsid w:val="0039017F"/>
    <w:rsid w:val="003A4AD2"/>
    <w:rsid w:val="003A4F5D"/>
    <w:rsid w:val="003B415D"/>
    <w:rsid w:val="003C4CA2"/>
    <w:rsid w:val="003D15E3"/>
    <w:rsid w:val="003D5397"/>
    <w:rsid w:val="003D7E73"/>
    <w:rsid w:val="003F2515"/>
    <w:rsid w:val="003F3FF3"/>
    <w:rsid w:val="003F5B1C"/>
    <w:rsid w:val="00401E05"/>
    <w:rsid w:val="004028F3"/>
    <w:rsid w:val="00405ECF"/>
    <w:rsid w:val="0041211F"/>
    <w:rsid w:val="00420798"/>
    <w:rsid w:val="004211D4"/>
    <w:rsid w:val="00422C7D"/>
    <w:rsid w:val="00431724"/>
    <w:rsid w:val="00432170"/>
    <w:rsid w:val="0043345D"/>
    <w:rsid w:val="00435399"/>
    <w:rsid w:val="00446F2E"/>
    <w:rsid w:val="0045130E"/>
    <w:rsid w:val="00454C09"/>
    <w:rsid w:val="00455315"/>
    <w:rsid w:val="0046766D"/>
    <w:rsid w:val="004679E2"/>
    <w:rsid w:val="00473434"/>
    <w:rsid w:val="00474077"/>
    <w:rsid w:val="00477ABA"/>
    <w:rsid w:val="004961C2"/>
    <w:rsid w:val="004A091A"/>
    <w:rsid w:val="004A54F9"/>
    <w:rsid w:val="004B2E44"/>
    <w:rsid w:val="004C2272"/>
    <w:rsid w:val="004C3617"/>
    <w:rsid w:val="004C670C"/>
    <w:rsid w:val="004D7FCF"/>
    <w:rsid w:val="004E11A0"/>
    <w:rsid w:val="004E1C78"/>
    <w:rsid w:val="004E2FAE"/>
    <w:rsid w:val="004E468F"/>
    <w:rsid w:val="00500042"/>
    <w:rsid w:val="005035E3"/>
    <w:rsid w:val="0050499D"/>
    <w:rsid w:val="00504DA4"/>
    <w:rsid w:val="00506A8E"/>
    <w:rsid w:val="005078CA"/>
    <w:rsid w:val="0051726F"/>
    <w:rsid w:val="005255D4"/>
    <w:rsid w:val="00527A66"/>
    <w:rsid w:val="00533FE5"/>
    <w:rsid w:val="0054167C"/>
    <w:rsid w:val="00545140"/>
    <w:rsid w:val="005461B1"/>
    <w:rsid w:val="00547D34"/>
    <w:rsid w:val="005509EE"/>
    <w:rsid w:val="00557286"/>
    <w:rsid w:val="00570FB9"/>
    <w:rsid w:val="00585549"/>
    <w:rsid w:val="00587BDD"/>
    <w:rsid w:val="00592FB7"/>
    <w:rsid w:val="00595318"/>
    <w:rsid w:val="00595E27"/>
    <w:rsid w:val="00596FC9"/>
    <w:rsid w:val="0059789C"/>
    <w:rsid w:val="005A0A20"/>
    <w:rsid w:val="005A1BC2"/>
    <w:rsid w:val="005B2BF6"/>
    <w:rsid w:val="005B6237"/>
    <w:rsid w:val="005B72DE"/>
    <w:rsid w:val="005D38C3"/>
    <w:rsid w:val="005E0B2C"/>
    <w:rsid w:val="005F0BE8"/>
    <w:rsid w:val="005F3C43"/>
    <w:rsid w:val="00601530"/>
    <w:rsid w:val="00604E56"/>
    <w:rsid w:val="0060737B"/>
    <w:rsid w:val="00630C3C"/>
    <w:rsid w:val="006313B9"/>
    <w:rsid w:val="006330D3"/>
    <w:rsid w:val="0063541A"/>
    <w:rsid w:val="0063720F"/>
    <w:rsid w:val="0064020B"/>
    <w:rsid w:val="0064150D"/>
    <w:rsid w:val="00642128"/>
    <w:rsid w:val="00643066"/>
    <w:rsid w:val="00645F1D"/>
    <w:rsid w:val="00655D08"/>
    <w:rsid w:val="006656C8"/>
    <w:rsid w:val="00673C00"/>
    <w:rsid w:val="00675050"/>
    <w:rsid w:val="00677BAA"/>
    <w:rsid w:val="00681F9E"/>
    <w:rsid w:val="0069040B"/>
    <w:rsid w:val="00697D6C"/>
    <w:rsid w:val="00697E6A"/>
    <w:rsid w:val="006A0B06"/>
    <w:rsid w:val="006B3121"/>
    <w:rsid w:val="006B5600"/>
    <w:rsid w:val="006C3E71"/>
    <w:rsid w:val="006D08C2"/>
    <w:rsid w:val="006D70D1"/>
    <w:rsid w:val="006E3A91"/>
    <w:rsid w:val="006E47C9"/>
    <w:rsid w:val="006E5CBA"/>
    <w:rsid w:val="006F2FE6"/>
    <w:rsid w:val="006F4A20"/>
    <w:rsid w:val="007026EE"/>
    <w:rsid w:val="00705F23"/>
    <w:rsid w:val="00710BEB"/>
    <w:rsid w:val="007119CE"/>
    <w:rsid w:val="00732CA2"/>
    <w:rsid w:val="00737F37"/>
    <w:rsid w:val="00743C0C"/>
    <w:rsid w:val="00746B18"/>
    <w:rsid w:val="00747982"/>
    <w:rsid w:val="00773375"/>
    <w:rsid w:val="00774A07"/>
    <w:rsid w:val="0078472A"/>
    <w:rsid w:val="00784A76"/>
    <w:rsid w:val="0078537E"/>
    <w:rsid w:val="00787648"/>
    <w:rsid w:val="0079622A"/>
    <w:rsid w:val="007A0468"/>
    <w:rsid w:val="007A31B8"/>
    <w:rsid w:val="007C0DD7"/>
    <w:rsid w:val="007C3B87"/>
    <w:rsid w:val="007C45B7"/>
    <w:rsid w:val="007C5746"/>
    <w:rsid w:val="007C66DB"/>
    <w:rsid w:val="007C6963"/>
    <w:rsid w:val="007D68CB"/>
    <w:rsid w:val="007D798E"/>
    <w:rsid w:val="007E77B1"/>
    <w:rsid w:val="007E7F01"/>
    <w:rsid w:val="007F2ACD"/>
    <w:rsid w:val="007F6273"/>
    <w:rsid w:val="008027C3"/>
    <w:rsid w:val="00804043"/>
    <w:rsid w:val="0080670B"/>
    <w:rsid w:val="0082078C"/>
    <w:rsid w:val="0082442F"/>
    <w:rsid w:val="0082658D"/>
    <w:rsid w:val="00826748"/>
    <w:rsid w:val="0083667A"/>
    <w:rsid w:val="00840737"/>
    <w:rsid w:val="00851040"/>
    <w:rsid w:val="008547CB"/>
    <w:rsid w:val="008572A6"/>
    <w:rsid w:val="00865D02"/>
    <w:rsid w:val="00874BC8"/>
    <w:rsid w:val="00885BA8"/>
    <w:rsid w:val="008901CB"/>
    <w:rsid w:val="0089337C"/>
    <w:rsid w:val="008B353A"/>
    <w:rsid w:val="008B392B"/>
    <w:rsid w:val="008C1469"/>
    <w:rsid w:val="008C4A7A"/>
    <w:rsid w:val="008C5AA0"/>
    <w:rsid w:val="008E1425"/>
    <w:rsid w:val="008E35EB"/>
    <w:rsid w:val="008E69E9"/>
    <w:rsid w:val="008F20A9"/>
    <w:rsid w:val="008F7DFB"/>
    <w:rsid w:val="0091160E"/>
    <w:rsid w:val="00913737"/>
    <w:rsid w:val="009263CE"/>
    <w:rsid w:val="00935EB3"/>
    <w:rsid w:val="0093699E"/>
    <w:rsid w:val="00955BC8"/>
    <w:rsid w:val="009565D1"/>
    <w:rsid w:val="00961E11"/>
    <w:rsid w:val="00964EED"/>
    <w:rsid w:val="00982CBA"/>
    <w:rsid w:val="00984E95"/>
    <w:rsid w:val="009852C6"/>
    <w:rsid w:val="00996FC9"/>
    <w:rsid w:val="009A0F7F"/>
    <w:rsid w:val="009A1B1F"/>
    <w:rsid w:val="009A3A9B"/>
    <w:rsid w:val="009B2EF3"/>
    <w:rsid w:val="009B5596"/>
    <w:rsid w:val="009C08FF"/>
    <w:rsid w:val="009D0D13"/>
    <w:rsid w:val="009D3826"/>
    <w:rsid w:val="009D4119"/>
    <w:rsid w:val="009D7267"/>
    <w:rsid w:val="009E220D"/>
    <w:rsid w:val="009F00DD"/>
    <w:rsid w:val="009F059B"/>
    <w:rsid w:val="009F60E1"/>
    <w:rsid w:val="009F69AA"/>
    <w:rsid w:val="00A031C0"/>
    <w:rsid w:val="00A06F62"/>
    <w:rsid w:val="00A11A50"/>
    <w:rsid w:val="00A305D2"/>
    <w:rsid w:val="00A324B4"/>
    <w:rsid w:val="00A35BA4"/>
    <w:rsid w:val="00A44D9F"/>
    <w:rsid w:val="00A45CC3"/>
    <w:rsid w:val="00A47E2E"/>
    <w:rsid w:val="00A50F20"/>
    <w:rsid w:val="00A53161"/>
    <w:rsid w:val="00A53B3C"/>
    <w:rsid w:val="00A72464"/>
    <w:rsid w:val="00A82A8E"/>
    <w:rsid w:val="00A840A8"/>
    <w:rsid w:val="00A951DA"/>
    <w:rsid w:val="00AA36EA"/>
    <w:rsid w:val="00AB649F"/>
    <w:rsid w:val="00AC05A5"/>
    <w:rsid w:val="00AD5C19"/>
    <w:rsid w:val="00AE4123"/>
    <w:rsid w:val="00AE6927"/>
    <w:rsid w:val="00AE7269"/>
    <w:rsid w:val="00AF2704"/>
    <w:rsid w:val="00B03843"/>
    <w:rsid w:val="00B03BF3"/>
    <w:rsid w:val="00B12035"/>
    <w:rsid w:val="00B15676"/>
    <w:rsid w:val="00B15845"/>
    <w:rsid w:val="00B1638F"/>
    <w:rsid w:val="00B17898"/>
    <w:rsid w:val="00B24319"/>
    <w:rsid w:val="00B257B3"/>
    <w:rsid w:val="00B31A66"/>
    <w:rsid w:val="00B3448A"/>
    <w:rsid w:val="00B429C5"/>
    <w:rsid w:val="00B43501"/>
    <w:rsid w:val="00B4735D"/>
    <w:rsid w:val="00B50FE0"/>
    <w:rsid w:val="00B52E0E"/>
    <w:rsid w:val="00B572E4"/>
    <w:rsid w:val="00B6572D"/>
    <w:rsid w:val="00B7313A"/>
    <w:rsid w:val="00B81834"/>
    <w:rsid w:val="00B87A93"/>
    <w:rsid w:val="00BA0658"/>
    <w:rsid w:val="00BA0AE1"/>
    <w:rsid w:val="00BA7A34"/>
    <w:rsid w:val="00BB43FF"/>
    <w:rsid w:val="00BC0E45"/>
    <w:rsid w:val="00BC137E"/>
    <w:rsid w:val="00BD333E"/>
    <w:rsid w:val="00BD6BD4"/>
    <w:rsid w:val="00BE15E8"/>
    <w:rsid w:val="00BE462C"/>
    <w:rsid w:val="00BE6BEE"/>
    <w:rsid w:val="00BF28CF"/>
    <w:rsid w:val="00BF3C1F"/>
    <w:rsid w:val="00C04996"/>
    <w:rsid w:val="00C05FCF"/>
    <w:rsid w:val="00C061D5"/>
    <w:rsid w:val="00C06692"/>
    <w:rsid w:val="00C0674B"/>
    <w:rsid w:val="00C160AE"/>
    <w:rsid w:val="00C245DB"/>
    <w:rsid w:val="00C265DF"/>
    <w:rsid w:val="00C3619F"/>
    <w:rsid w:val="00C42D5D"/>
    <w:rsid w:val="00C51C07"/>
    <w:rsid w:val="00C5204C"/>
    <w:rsid w:val="00C54523"/>
    <w:rsid w:val="00C66BC8"/>
    <w:rsid w:val="00C707B7"/>
    <w:rsid w:val="00C74DFB"/>
    <w:rsid w:val="00C769BC"/>
    <w:rsid w:val="00CB0ACF"/>
    <w:rsid w:val="00CB17B8"/>
    <w:rsid w:val="00CB6283"/>
    <w:rsid w:val="00CC0BE1"/>
    <w:rsid w:val="00CC234B"/>
    <w:rsid w:val="00CC3B7B"/>
    <w:rsid w:val="00CD0650"/>
    <w:rsid w:val="00CD14BA"/>
    <w:rsid w:val="00CD2361"/>
    <w:rsid w:val="00CD399F"/>
    <w:rsid w:val="00CE3E70"/>
    <w:rsid w:val="00D02C0F"/>
    <w:rsid w:val="00D051E2"/>
    <w:rsid w:val="00D125A9"/>
    <w:rsid w:val="00D13330"/>
    <w:rsid w:val="00D133F3"/>
    <w:rsid w:val="00D171FC"/>
    <w:rsid w:val="00D2569D"/>
    <w:rsid w:val="00D25E0A"/>
    <w:rsid w:val="00D327BE"/>
    <w:rsid w:val="00D34743"/>
    <w:rsid w:val="00D43CAA"/>
    <w:rsid w:val="00D44D81"/>
    <w:rsid w:val="00D518FD"/>
    <w:rsid w:val="00D54058"/>
    <w:rsid w:val="00D60452"/>
    <w:rsid w:val="00D70713"/>
    <w:rsid w:val="00D76363"/>
    <w:rsid w:val="00D772CC"/>
    <w:rsid w:val="00D86DE4"/>
    <w:rsid w:val="00D914E1"/>
    <w:rsid w:val="00D92E3E"/>
    <w:rsid w:val="00D94980"/>
    <w:rsid w:val="00DA0016"/>
    <w:rsid w:val="00DA029C"/>
    <w:rsid w:val="00DA3B94"/>
    <w:rsid w:val="00DA55BD"/>
    <w:rsid w:val="00DA5E2C"/>
    <w:rsid w:val="00DB0732"/>
    <w:rsid w:val="00DB338F"/>
    <w:rsid w:val="00DB6430"/>
    <w:rsid w:val="00DC45FF"/>
    <w:rsid w:val="00DD024B"/>
    <w:rsid w:val="00DD27EA"/>
    <w:rsid w:val="00DD3514"/>
    <w:rsid w:val="00DE1452"/>
    <w:rsid w:val="00E03ADC"/>
    <w:rsid w:val="00E07DAE"/>
    <w:rsid w:val="00E125DB"/>
    <w:rsid w:val="00E15353"/>
    <w:rsid w:val="00E204E0"/>
    <w:rsid w:val="00E30C76"/>
    <w:rsid w:val="00E46A9E"/>
    <w:rsid w:val="00E515BA"/>
    <w:rsid w:val="00E54AAF"/>
    <w:rsid w:val="00E55C3E"/>
    <w:rsid w:val="00E7329B"/>
    <w:rsid w:val="00E73847"/>
    <w:rsid w:val="00E80AFE"/>
    <w:rsid w:val="00E8171E"/>
    <w:rsid w:val="00E823FE"/>
    <w:rsid w:val="00E8354F"/>
    <w:rsid w:val="00E86E4E"/>
    <w:rsid w:val="00E968D7"/>
    <w:rsid w:val="00EA47EF"/>
    <w:rsid w:val="00EA4D30"/>
    <w:rsid w:val="00EA4F82"/>
    <w:rsid w:val="00EA6B53"/>
    <w:rsid w:val="00EB17F2"/>
    <w:rsid w:val="00ED27EB"/>
    <w:rsid w:val="00ED7970"/>
    <w:rsid w:val="00ED7A8A"/>
    <w:rsid w:val="00EE5C3B"/>
    <w:rsid w:val="00EF3060"/>
    <w:rsid w:val="00EF5C7E"/>
    <w:rsid w:val="00F04134"/>
    <w:rsid w:val="00F2047B"/>
    <w:rsid w:val="00F359A5"/>
    <w:rsid w:val="00F37F1D"/>
    <w:rsid w:val="00F470E8"/>
    <w:rsid w:val="00F539D9"/>
    <w:rsid w:val="00F54334"/>
    <w:rsid w:val="00F65381"/>
    <w:rsid w:val="00F701C2"/>
    <w:rsid w:val="00F7257D"/>
    <w:rsid w:val="00F73948"/>
    <w:rsid w:val="00F76429"/>
    <w:rsid w:val="00F820B2"/>
    <w:rsid w:val="00F8436D"/>
    <w:rsid w:val="00F94EE4"/>
    <w:rsid w:val="00F9758F"/>
    <w:rsid w:val="00FA137B"/>
    <w:rsid w:val="00FA2A07"/>
    <w:rsid w:val="00FA7A90"/>
    <w:rsid w:val="00FB0EF8"/>
    <w:rsid w:val="00FB1299"/>
    <w:rsid w:val="00FB392F"/>
    <w:rsid w:val="00FC2116"/>
    <w:rsid w:val="00FC3DDF"/>
    <w:rsid w:val="00FC4700"/>
    <w:rsid w:val="00FC53C1"/>
    <w:rsid w:val="00FC7842"/>
    <w:rsid w:val="00FD2CF9"/>
    <w:rsid w:val="00FD6F91"/>
    <w:rsid w:val="00FE4B38"/>
    <w:rsid w:val="00FE79E7"/>
    <w:rsid w:val="00FF00A7"/>
    <w:rsid w:val="00FF1712"/>
    <w:rsid w:val="00FF4035"/>
    <w:rsid w:val="00FF4AD3"/>
    <w:rsid w:val="00FF6B20"/>
    <w:rsid w:val="00FF75A4"/>
  </w:rsids>
  <w:themeFontLang w:bidi="ar-SA"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49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cs="B Mitra" w:eastAsiaTheme="minorHAnsi" w:hAnsi="Times New Roman"/>
        <w:sz w:val="22"/>
        <w:szCs w:val="24"/>
        <w:lang w:bidi="ar-SA" w:eastAsia="en-US" w:val="fa-IR"/>
      </w:rPr>
    </w:rPrDefault>
    <w:pPrDefault>
      <w:pPr>
        <w:spacing w:after="200" w:line="276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874BC8"/>
    <w:rPr>
      <w:lang w:bidi="fa-IR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a2" w:type="paragraph">
    <w:name w:val="متن عادی پایان نامه"/>
    <w:basedOn w:val="Normal"/>
    <w:link w:val="Char"/>
    <w:qFormat/>
    <w:rsid w:val="00D70713"/>
    <w:pPr>
      <w:bidi/>
      <w:spacing w:line="240" w:lineRule="auto"/>
      <w:jc w:val="both"/>
    </w:pPr>
    <w:rPr>
      <w:rFonts w:cs="B Nazanin"/>
    </w:rPr>
  </w:style>
  <w:style w:customStyle="1" w:styleId="a3" w:type="paragraph">
    <w:name w:val="نام دانشکده روی جلد فارسی"/>
    <w:basedOn w:val="a2"/>
    <w:qFormat/>
    <w:rsid w:val="00732CA2"/>
    <w:pPr>
      <w:spacing w:after="120" w:before="480"/>
      <w:jc w:val="center"/>
    </w:pPr>
    <w:rPr>
      <w:rFonts w:cs="B Kourosh"/>
      <w:szCs w:val="36"/>
    </w:rPr>
  </w:style>
  <w:style w:styleId="Header" w:type="paragraph">
    <w:name w:val="header"/>
    <w:basedOn w:val="Normal"/>
    <w:link w:val="HeaderChar"/>
    <w:uiPriority w:val="99"/>
    <w:unhideWhenUsed/>
    <w:rsid w:val="00732CA2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732CA2"/>
  </w:style>
  <w:style w:styleId="Footer" w:type="paragraph">
    <w:name w:val="footer"/>
    <w:basedOn w:val="Normal"/>
    <w:link w:val="FooterChar"/>
    <w:uiPriority w:val="99"/>
    <w:unhideWhenUsed/>
    <w:rsid w:val="00732CA2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732CA2"/>
  </w:style>
  <w:style w:styleId="BalloonText" w:type="paragraph">
    <w:name w:val="Balloon Text"/>
    <w:basedOn w:val="Normal"/>
    <w:link w:val="BalloonTextChar"/>
    <w:uiPriority w:val="99"/>
    <w:semiHidden/>
    <w:unhideWhenUsed/>
    <w:rsid w:val="00732CA2"/>
    <w:pPr>
      <w:spacing w:after="0" w:line="240" w:lineRule="auto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732CA2"/>
    <w:rPr>
      <w:rFonts w:ascii="Tahoma" w:cs="Tahoma" w:hAnsi="Tahoma"/>
      <w:sz w:val="16"/>
      <w:szCs w:val="16"/>
    </w:rPr>
  </w:style>
  <w:style w:customStyle="1" w:styleId="a4" w:type="paragraph">
    <w:name w:val="نام گروه آموزشی روی جلد فارسی"/>
    <w:basedOn w:val="a3"/>
    <w:qFormat/>
    <w:rsid w:val="00732CA2"/>
    <w:pPr>
      <w:spacing w:before="0"/>
    </w:pPr>
  </w:style>
  <w:style w:customStyle="1" w:styleId="a5" w:type="paragraph">
    <w:name w:val="عنوان پایان نامه روی جلد فارسی"/>
    <w:basedOn w:val="a3"/>
    <w:qFormat/>
    <w:rsid w:val="00732CA2"/>
    <w:pPr>
      <w:spacing w:after="1080" w:before="960"/>
      <w:contextualSpacing/>
    </w:pPr>
    <w:rPr>
      <w:rFonts w:cs="B Titr"/>
      <w:bCs/>
      <w:szCs w:val="48"/>
    </w:rPr>
  </w:style>
  <w:style w:customStyle="1" w:styleId="a6" w:type="paragraph">
    <w:name w:val="عنوان دانشکو و استاد راهنما روی جلد فارسی"/>
    <w:basedOn w:val="a3"/>
    <w:qFormat/>
    <w:rsid w:val="00732CA2"/>
  </w:style>
  <w:style w:customStyle="1" w:styleId="a7" w:type="paragraph">
    <w:name w:val="نام دانشجو و استاد راهنما روی جلد فارسی"/>
    <w:basedOn w:val="a3"/>
    <w:qFormat/>
    <w:rsid w:val="00732CA2"/>
    <w:pPr>
      <w:spacing w:before="0"/>
    </w:pPr>
  </w:style>
  <w:style w:customStyle="1" w:styleId="a8" w:type="paragraph">
    <w:name w:val="تاریخ روی جلد فارسی"/>
    <w:basedOn w:val="a3"/>
    <w:qFormat/>
    <w:rsid w:val="00732CA2"/>
    <w:pPr>
      <w:spacing w:after="0" w:before="960"/>
    </w:pPr>
  </w:style>
  <w:style w:styleId="TableGrid" w:type="table">
    <w:name w:val="Table Grid"/>
    <w:basedOn w:val="TableNormal"/>
    <w:uiPriority w:val="59"/>
    <w:rsid w:val="00865D02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a9" w:type="paragraph">
    <w:name w:val="به نام خدا در صفحه سوم"/>
    <w:basedOn w:val="a2"/>
    <w:qFormat/>
    <w:rsid w:val="001F13FF"/>
    <w:pPr>
      <w:spacing w:after="600" w:before="600"/>
      <w:jc w:val="center"/>
    </w:pPr>
    <w:rPr>
      <w:rFonts w:cs="IranNastaliq"/>
      <w:szCs w:val="36"/>
    </w:rPr>
  </w:style>
  <w:style w:customStyle="1" w:styleId="aa" w:type="paragraph">
    <w:name w:val="عنوان پایان نامه در صفحه سوم"/>
    <w:basedOn w:val="a2"/>
    <w:qFormat/>
    <w:rsid w:val="001F13FF"/>
    <w:pPr>
      <w:spacing w:after="600"/>
      <w:jc w:val="center"/>
    </w:pPr>
    <w:rPr>
      <w:rFonts w:cs="B Titr"/>
      <w:bCs/>
      <w:szCs w:val="32"/>
    </w:rPr>
  </w:style>
  <w:style w:customStyle="1" w:styleId="ab" w:type="paragraph">
    <w:name w:val="متن صفحه سوم"/>
    <w:basedOn w:val="a2"/>
    <w:qFormat/>
    <w:rsid w:val="001F13FF"/>
    <w:pPr>
      <w:spacing w:after="240"/>
      <w:jc w:val="center"/>
    </w:pPr>
    <w:rPr>
      <w:szCs w:val="28"/>
    </w:rPr>
  </w:style>
  <w:style w:customStyle="1" w:styleId="ac" w:type="paragraph">
    <w:name w:val="استادان داور صفحه سوم"/>
    <w:basedOn w:val="a2"/>
    <w:qFormat/>
    <w:rsid w:val="001F13FF"/>
    <w:pPr>
      <w:spacing w:after="120" w:before="120"/>
      <w:jc w:val="left"/>
    </w:pPr>
    <w:rPr>
      <w:szCs w:val="28"/>
    </w:rPr>
  </w:style>
  <w:style w:customStyle="1" w:styleId="ad" w:type="paragraph">
    <w:name w:val="متن صفحه سپاسگزاری"/>
    <w:basedOn w:val="a2"/>
    <w:qFormat/>
    <w:rsid w:val="009E220D"/>
    <w:pPr>
      <w:spacing w:after="240"/>
      <w:ind w:left="1134" w:right="1134"/>
    </w:pPr>
    <w:rPr>
      <w:rFonts w:cs="IranNastaliq"/>
      <w:sz w:val="24"/>
      <w:szCs w:val="36"/>
    </w:rPr>
  </w:style>
  <w:style w:customStyle="1" w:styleId="ae" w:type="paragraph">
    <w:name w:val="عنوان چکیده فارسی"/>
    <w:basedOn w:val="a2"/>
    <w:qFormat/>
    <w:rsid w:val="00AB649F"/>
    <w:pPr>
      <w:spacing w:after="240" w:before="1080"/>
      <w:jc w:val="center"/>
    </w:pPr>
    <w:rPr>
      <w:bCs/>
      <w:szCs w:val="32"/>
    </w:rPr>
  </w:style>
  <w:style w:customStyle="1" w:styleId="af" w:type="paragraph">
    <w:name w:val="متن چکیده"/>
    <w:basedOn w:val="a2"/>
    <w:qFormat/>
    <w:rsid w:val="001938EF"/>
    <w:pPr>
      <w:ind w:left="567" w:right="567"/>
    </w:pPr>
  </w:style>
  <w:style w:customStyle="1" w:styleId="af0" w:type="paragraph">
    <w:name w:val="عنوان فهرست‏ها"/>
    <w:basedOn w:val="ae"/>
    <w:qFormat/>
    <w:rsid w:val="00AB649F"/>
    <w:pPr>
      <w:keepNext/>
      <w:spacing w:before="720"/>
    </w:pPr>
  </w:style>
  <w:style w:customStyle="1" w:styleId="1" w:type="paragraph">
    <w:name w:val="عنوان بخش 1"/>
    <w:basedOn w:val="a2"/>
    <w:qFormat/>
    <w:rsid w:val="00B1638F"/>
    <w:pPr>
      <w:keepNext/>
      <w:spacing w:after="240" w:before="240"/>
      <w:jc w:val="left"/>
      <w:outlineLvl w:val="1"/>
    </w:pPr>
    <w:rPr>
      <w:b/>
      <w:bCs/>
      <w:sz w:val="28"/>
      <w:szCs w:val="32"/>
    </w:rPr>
  </w:style>
  <w:style w:customStyle="1" w:styleId="2" w:type="paragraph">
    <w:name w:val="عنوان بخش 2"/>
    <w:basedOn w:val="1"/>
    <w:qFormat/>
    <w:rsid w:val="00B1638F"/>
    <w:pPr>
      <w:spacing w:after="120"/>
      <w:outlineLvl w:val="2"/>
    </w:pPr>
    <w:rPr>
      <w:sz w:val="24"/>
      <w:szCs w:val="28"/>
    </w:rPr>
  </w:style>
  <w:style w:customStyle="1" w:styleId="3" w:type="paragraph">
    <w:name w:val="عنوان بخش 3"/>
    <w:basedOn w:val="2"/>
    <w:qFormat/>
    <w:rsid w:val="006D08C2"/>
    <w:pPr>
      <w:spacing w:before="120"/>
      <w:outlineLvl w:val="3"/>
    </w:pPr>
    <w:rPr>
      <w:i/>
      <w:iCs/>
      <w:sz w:val="22"/>
      <w:szCs w:val="24"/>
    </w:rPr>
  </w:style>
  <w:style w:customStyle="1" w:styleId="a1" w:type="paragraph">
    <w:name w:val="فهرست نقطه دار فارسی"/>
    <w:basedOn w:val="a2"/>
    <w:qFormat/>
    <w:rsid w:val="00B15845"/>
    <w:pPr>
      <w:numPr>
        <w:numId w:val="1"/>
      </w:numPr>
      <w:ind w:hanging="284" w:left="568"/>
      <w:contextualSpacing/>
      <w:jc w:val="left"/>
    </w:pPr>
  </w:style>
  <w:style w:customStyle="1" w:styleId="a0" w:type="paragraph">
    <w:name w:val="فهرست شماره دار فارسی"/>
    <w:basedOn w:val="a2"/>
    <w:qFormat/>
    <w:rsid w:val="00B15845"/>
    <w:pPr>
      <w:numPr>
        <w:numId w:val="2"/>
      </w:numPr>
      <w:ind w:hanging="284" w:left="568"/>
      <w:contextualSpacing/>
      <w:jc w:val="left"/>
    </w:pPr>
  </w:style>
  <w:style w:customStyle="1" w:styleId="af1" w:type="character">
    <w:name w:val="متن عادی ایتالیک"/>
    <w:basedOn w:val="DefaultParagraphFont"/>
    <w:uiPriority w:val="1"/>
    <w:qFormat/>
    <w:rsid w:val="00B15845"/>
    <w:rPr>
      <w:i/>
      <w:iCs/>
    </w:rPr>
  </w:style>
  <w:style w:customStyle="1" w:styleId="af2" w:type="character">
    <w:name w:val="متن پررنگ شده عادی"/>
    <w:basedOn w:val="DefaultParagraphFont"/>
    <w:uiPriority w:val="1"/>
    <w:qFormat/>
    <w:rsid w:val="00B15845"/>
    <w:rPr>
      <w:b/>
      <w:bCs/>
    </w:rPr>
  </w:style>
  <w:style w:customStyle="1" w:styleId="af3" w:type="character">
    <w:name w:val="متن زیرخط دار عادی"/>
    <w:basedOn w:val="DefaultParagraphFont"/>
    <w:uiPriority w:val="1"/>
    <w:qFormat/>
    <w:rsid w:val="00257DDE"/>
    <w:rPr>
      <w:u w:val="single"/>
    </w:rPr>
  </w:style>
  <w:style w:customStyle="1" w:styleId="af4" w:type="character">
    <w:name w:val="متن زیر خط دار ایتالیک عادی"/>
    <w:basedOn w:val="DefaultParagraphFont"/>
    <w:uiPriority w:val="1"/>
    <w:qFormat/>
    <w:rsid w:val="00257DDE"/>
    <w:rPr>
      <w:i/>
      <w:iCs/>
      <w:u w:val="single"/>
    </w:rPr>
  </w:style>
  <w:style w:customStyle="1" w:styleId="af5" w:type="character">
    <w:name w:val="متن ریز در متن عادی"/>
    <w:basedOn w:val="DefaultParagraphFont"/>
    <w:uiPriority w:val="1"/>
    <w:qFormat/>
    <w:rsid w:val="00257DDE"/>
    <w:rPr>
      <w:sz w:val="18"/>
      <w:szCs w:val="20"/>
    </w:rPr>
  </w:style>
  <w:style w:customStyle="1" w:styleId="Char" w:type="character">
    <w:name w:val="متن عادی پایان نامه Char"/>
    <w:basedOn w:val="DefaultParagraphFont"/>
    <w:link w:val="a2"/>
    <w:rsid w:val="00D70713"/>
    <w:rPr>
      <w:rFonts w:cs="B Nazanin"/>
    </w:rPr>
  </w:style>
  <w:style w:customStyle="1" w:styleId="af6" w:type="paragraph">
    <w:name w:val="متن زیرنویس فارسی"/>
    <w:basedOn w:val="a2"/>
    <w:qFormat/>
    <w:rsid w:val="00257DDE"/>
    <w:pPr>
      <w:spacing w:after="0"/>
      <w:jc w:val="left"/>
    </w:pPr>
    <w:rPr>
      <w:sz w:val="18"/>
      <w:szCs w:val="20"/>
    </w:rPr>
  </w:style>
  <w:style w:customStyle="1" w:styleId="af7" w:type="paragraph">
    <w:name w:val="متن زیرنویس انگلیسی"/>
    <w:basedOn w:val="af6"/>
    <w:qFormat/>
    <w:rsid w:val="00257DDE"/>
    <w:pPr>
      <w:bidi w:val="0"/>
    </w:pPr>
    <w:rPr>
      <w:sz w:val="20"/>
    </w:rPr>
  </w:style>
  <w:style w:customStyle="1" w:styleId="af8" w:type="paragraph">
    <w:name w:val="متن راست چین جدول"/>
    <w:basedOn w:val="a2"/>
    <w:qFormat/>
    <w:rsid w:val="00B7313A"/>
    <w:pPr>
      <w:spacing w:after="0"/>
      <w:jc w:val="left"/>
    </w:pPr>
    <w:rPr>
      <w:sz w:val="20"/>
      <w:szCs w:val="22"/>
    </w:rPr>
  </w:style>
  <w:style w:customStyle="1" w:styleId="af9" w:type="paragraph">
    <w:name w:val="متن میان چین جدول"/>
    <w:basedOn w:val="af8"/>
    <w:qFormat/>
    <w:rsid w:val="00B7313A"/>
    <w:pPr>
      <w:jc w:val="center"/>
    </w:pPr>
  </w:style>
  <w:style w:customStyle="1" w:styleId="afa" w:type="paragraph">
    <w:name w:val="متن چپ چین جدول"/>
    <w:basedOn w:val="af8"/>
    <w:qFormat/>
    <w:rsid w:val="00B7313A"/>
    <w:pPr>
      <w:jc w:val="right"/>
    </w:pPr>
  </w:style>
  <w:style w:customStyle="1" w:styleId="afb" w:type="paragraph">
    <w:name w:val="سرستون راست چین جدول"/>
    <w:basedOn w:val="af8"/>
    <w:qFormat/>
    <w:rsid w:val="005E0B2C"/>
    <w:rPr>
      <w:b/>
      <w:bCs/>
    </w:rPr>
  </w:style>
  <w:style w:customStyle="1" w:styleId="afc" w:type="paragraph">
    <w:name w:val="سرستون میان چین جدول"/>
    <w:basedOn w:val="afb"/>
    <w:qFormat/>
    <w:rsid w:val="005E0B2C"/>
    <w:pPr>
      <w:jc w:val="center"/>
    </w:pPr>
  </w:style>
  <w:style w:customStyle="1" w:styleId="afd" w:type="paragraph">
    <w:name w:val="سرستون چپ چین جدول"/>
    <w:basedOn w:val="afb"/>
    <w:qFormat/>
    <w:rsid w:val="005E0B2C"/>
    <w:pPr>
      <w:jc w:val="right"/>
    </w:pPr>
  </w:style>
  <w:style w:customStyle="1" w:styleId="afe" w:type="paragraph">
    <w:name w:val="عنوان و شرح جدول"/>
    <w:basedOn w:val="a2"/>
    <w:qFormat/>
    <w:rsid w:val="005E0B2C"/>
    <w:pPr>
      <w:spacing w:after="0" w:before="240"/>
      <w:contextualSpacing/>
      <w:jc w:val="center"/>
    </w:pPr>
    <w:rPr>
      <w:b/>
      <w:bCs/>
      <w:sz w:val="20"/>
      <w:szCs w:val="20"/>
    </w:rPr>
  </w:style>
  <w:style w:customStyle="1" w:styleId="aff" w:type="paragraph">
    <w:name w:val="عنوان و شرح شکل"/>
    <w:basedOn w:val="afe"/>
    <w:qFormat/>
    <w:rsid w:val="005E0B2C"/>
    <w:pPr>
      <w:spacing w:after="240" w:before="0"/>
    </w:pPr>
  </w:style>
  <w:style w:customStyle="1" w:styleId="a" w:type="paragraph">
    <w:name w:val="متن صفحه عنوان فصل"/>
    <w:basedOn w:val="a2"/>
    <w:qFormat/>
    <w:rsid w:val="00D70713"/>
    <w:pPr>
      <w:pageBreakBefore/>
      <w:numPr>
        <w:numId w:val="6"/>
      </w:numPr>
      <w:spacing w:after="0" w:before="10080"/>
      <w:jc w:val="right"/>
      <w:outlineLvl w:val="0"/>
    </w:pPr>
    <w:rPr>
      <w:rFonts w:cs="B Titr"/>
      <w:bCs/>
      <w:sz w:val="48"/>
      <w:szCs w:val="52"/>
    </w:rPr>
  </w:style>
  <w:style w:customStyle="1" w:styleId="aff0" w:type="paragraph">
    <w:name w:val="منابع انگلیسی"/>
    <w:basedOn w:val="a2"/>
    <w:qFormat/>
    <w:rsid w:val="003F3FF3"/>
    <w:pPr>
      <w:bidi w:val="0"/>
      <w:jc w:val="left"/>
    </w:pPr>
  </w:style>
  <w:style w:customStyle="1" w:styleId="aff1" w:type="paragraph">
    <w:name w:val="منابع فارسی"/>
    <w:basedOn w:val="a2"/>
    <w:qFormat/>
    <w:rsid w:val="003F3FF3"/>
    <w:pPr>
      <w:jc w:val="left"/>
    </w:pPr>
  </w:style>
  <w:style w:styleId="Hyperlink" w:type="character">
    <w:name w:val="Hyperlink"/>
    <w:basedOn w:val="DefaultParagraphFont"/>
    <w:uiPriority w:val="99"/>
    <w:unhideWhenUsed/>
    <w:rsid w:val="004E468F"/>
    <w:rPr>
      <w:color w:themeColor="hyperlink" w:val="0000FF"/>
      <w:u w:val="single"/>
    </w:rPr>
  </w:style>
  <w:style w:styleId="TOC1" w:type="paragraph">
    <w:name w:val="toc 1"/>
    <w:basedOn w:val="a2"/>
    <w:next w:val="Normal"/>
    <w:autoRedefine/>
    <w:uiPriority w:val="39"/>
    <w:unhideWhenUsed/>
    <w:rsid w:val="004E468F"/>
    <w:pPr>
      <w:spacing w:after="100"/>
    </w:pPr>
    <w:rPr>
      <w:b/>
      <w:bCs/>
      <w:sz w:val="24"/>
      <w:szCs w:val="28"/>
    </w:rPr>
  </w:style>
  <w:style w:styleId="TOC2" w:type="paragraph">
    <w:name w:val="toc 2"/>
    <w:basedOn w:val="a2"/>
    <w:next w:val="Normal"/>
    <w:autoRedefine/>
    <w:uiPriority w:val="39"/>
    <w:unhideWhenUsed/>
    <w:rsid w:val="004E468F"/>
    <w:pPr>
      <w:spacing w:after="100"/>
      <w:ind w:left="220"/>
    </w:pPr>
    <w:rPr>
      <w:b/>
      <w:bCs/>
    </w:rPr>
  </w:style>
  <w:style w:styleId="TOC3" w:type="paragraph">
    <w:name w:val="toc 3"/>
    <w:basedOn w:val="a2"/>
    <w:next w:val="Normal"/>
    <w:autoRedefine/>
    <w:uiPriority w:val="39"/>
    <w:unhideWhenUsed/>
    <w:rsid w:val="004E468F"/>
    <w:pPr>
      <w:spacing w:after="100"/>
      <w:ind w:left="440"/>
    </w:pPr>
    <w:rPr>
      <w:b/>
      <w:bCs/>
      <w:i/>
      <w:iCs/>
      <w:szCs w:val="22"/>
    </w:rPr>
  </w:style>
  <w:style w:styleId="TOC4" w:type="paragraph">
    <w:name w:val="toc 4"/>
    <w:basedOn w:val="a2"/>
    <w:next w:val="Normal"/>
    <w:autoRedefine/>
    <w:uiPriority w:val="39"/>
    <w:unhideWhenUsed/>
    <w:rsid w:val="004E468F"/>
    <w:pPr>
      <w:spacing w:after="100"/>
      <w:ind w:left="660"/>
    </w:pPr>
    <w:rPr>
      <w:i/>
      <w:iCs/>
      <w:szCs w:val="22"/>
    </w:rPr>
  </w:style>
  <w:style w:styleId="Caption" w:type="paragraph">
    <w:name w:val="caption"/>
    <w:basedOn w:val="Normal"/>
    <w:next w:val="Normal"/>
    <w:uiPriority w:val="35"/>
    <w:unhideWhenUsed/>
    <w:qFormat/>
    <w:rsid w:val="004E468F"/>
    <w:pPr>
      <w:spacing w:line="240" w:lineRule="auto"/>
    </w:pPr>
    <w:rPr>
      <w:b/>
      <w:bCs/>
      <w:color w:themeColor="accent1" w:val="4F81BD"/>
      <w:sz w:val="18"/>
      <w:szCs w:val="18"/>
    </w:rPr>
  </w:style>
  <w:style w:styleId="TableofFigures" w:type="paragraph">
    <w:name w:val="table of figures"/>
    <w:basedOn w:val="a2"/>
    <w:next w:val="Normal"/>
    <w:uiPriority w:val="99"/>
    <w:unhideWhenUsed/>
    <w:rsid w:val="004E468F"/>
    <w:pPr>
      <w:spacing w:after="0"/>
    </w:pPr>
  </w:style>
  <w:style w:customStyle="1" w:styleId="aff2" w:type="paragraph">
    <w:name w:val="عنوان سپاسگزاری"/>
    <w:basedOn w:val="ad"/>
    <w:qFormat/>
    <w:rsid w:val="002E2813"/>
    <w:pPr>
      <w:spacing w:before="840"/>
      <w:jc w:val="center"/>
    </w:pPr>
    <w:rPr>
      <w:bCs/>
      <w:szCs w:val="56"/>
    </w:rPr>
  </w:style>
  <w:style w:customStyle="1" w:styleId="aff3" w:type="paragraph">
    <w:name w:val="نام دانشجو در سفحه سپاسگزاری"/>
    <w:basedOn w:val="ad"/>
    <w:qFormat/>
    <w:rsid w:val="002E2813"/>
    <w:pPr>
      <w:spacing w:after="0" w:before="360"/>
      <w:contextualSpacing/>
      <w:jc w:val="right"/>
    </w:pPr>
  </w:style>
  <w:style w:customStyle="1" w:styleId="aff4" w:type="paragraph">
    <w:name w:val="متن جکیده انگلیسی"/>
    <w:basedOn w:val="Normal"/>
    <w:qFormat/>
    <w:rsid w:val="0037070D"/>
    <w:pPr>
      <w:spacing w:line="240" w:lineRule="auto"/>
      <w:jc w:val="both"/>
    </w:pPr>
    <w:rPr>
      <w:sz w:val="24"/>
      <w:lang w:val="en-GB"/>
    </w:rPr>
  </w:style>
  <w:style w:customStyle="1" w:styleId="aff5" w:type="character">
    <w:name w:val="متن چکیده پررنگ"/>
    <w:basedOn w:val="DefaultParagraphFont"/>
    <w:uiPriority w:val="1"/>
    <w:qFormat/>
    <w:rsid w:val="0037070D"/>
    <w:rPr>
      <w:b/>
      <w:bCs/>
    </w:rPr>
  </w:style>
  <w:style w:customStyle="1" w:styleId="aff6" w:type="paragraph">
    <w:name w:val="عنوان پایان نامه در صفحه چکیده انگلیسی"/>
    <w:basedOn w:val="aff4"/>
    <w:qFormat/>
    <w:rsid w:val="0037070D"/>
    <w:pPr>
      <w:spacing w:after="240"/>
      <w:contextualSpacing/>
      <w:jc w:val="center"/>
    </w:pPr>
    <w:rPr>
      <w:b/>
      <w:bCs/>
      <w:sz w:val="28"/>
      <w:szCs w:val="32"/>
    </w:rPr>
  </w:style>
  <w:style w:customStyle="1" w:styleId="aff7" w:type="paragraph">
    <w:name w:val="نام دانشجو در صفحه چکیده انگلیسی"/>
    <w:basedOn w:val="aff6"/>
    <w:qFormat/>
    <w:rsid w:val="0037070D"/>
    <w:pPr>
      <w:spacing w:after="360"/>
    </w:pPr>
    <w:rPr>
      <w:bCs w:val="0"/>
      <w:sz w:val="24"/>
      <w:szCs w:val="24"/>
    </w:rPr>
  </w:style>
  <w:style w:customStyle="1" w:styleId="aff8" w:type="paragraph">
    <w:name w:val="عنوان پایان نامه در صفحه جلد انگلیسی"/>
    <w:basedOn w:val="aff6"/>
    <w:qFormat/>
    <w:rsid w:val="002F603C"/>
    <w:pPr>
      <w:spacing w:after="360" w:before="480"/>
    </w:pPr>
    <w:rPr>
      <w:bCs w:val="0"/>
    </w:rPr>
  </w:style>
  <w:style w:customStyle="1" w:styleId="aff9" w:type="paragraph">
    <w:name w:val="نام رشته و گرایش دانشجو در صفحه داخلی انگلیسی"/>
    <w:basedOn w:val="Normal"/>
    <w:qFormat/>
    <w:rsid w:val="002F603C"/>
    <w:pPr>
      <w:spacing w:after="240" w:line="240" w:lineRule="auto"/>
      <w:jc w:val="center"/>
    </w:pPr>
    <w:rPr>
      <w:b/>
      <w:bCs/>
      <w:sz w:val="24"/>
      <w:szCs w:val="28"/>
    </w:rPr>
  </w:style>
  <w:style w:customStyle="1" w:styleId="affa" w:type="paragraph">
    <w:name w:val="عنوان پایان نامه بر روی جلد انگلیسی"/>
    <w:basedOn w:val="Normal"/>
    <w:qFormat/>
    <w:rsid w:val="002F603C"/>
    <w:pPr>
      <w:spacing w:after="600" w:before="1200" w:line="240" w:lineRule="auto"/>
      <w:jc w:val="center"/>
    </w:pPr>
    <w:rPr>
      <w:rFonts w:ascii="Eras Bold ITC" w:cs="Times New Roman" w:eastAsia="Times New Roman" w:hAnsi="Eras Bold ITC"/>
      <w:b/>
      <w:bCs/>
      <w:sz w:val="28"/>
      <w:szCs w:val="32"/>
    </w:rPr>
  </w:style>
  <w:style w:customStyle="1" w:styleId="affb" w:type="paragraph">
    <w:name w:val="نام دانشجو بر روی جلد انگلیسی"/>
    <w:basedOn w:val="Normal"/>
    <w:qFormat/>
    <w:rsid w:val="006F2FE6"/>
    <w:pPr>
      <w:spacing w:after="1200" w:line="240" w:lineRule="auto"/>
      <w:jc w:val="center"/>
    </w:pPr>
    <w:rPr>
      <w:b/>
      <w:bCs/>
    </w:rPr>
  </w:style>
  <w:style w:customStyle="1" w:styleId="affc" w:type="paragraph">
    <w:name w:val="نام راهنما بر روی جلد انگلیسی"/>
    <w:basedOn w:val="Normal"/>
    <w:qFormat/>
    <w:rsid w:val="002F603C"/>
    <w:pPr>
      <w:spacing w:after="720" w:line="240" w:lineRule="auto"/>
      <w:jc w:val="center"/>
    </w:pPr>
    <w:rPr>
      <w:b/>
      <w:bCs/>
    </w:rPr>
  </w:style>
  <w:style w:customStyle="1" w:styleId="affd" w:type="paragraph">
    <w:name w:val="نام رشته بر روی جلد انگلیسی"/>
    <w:basedOn w:val="Normal"/>
    <w:qFormat/>
    <w:rsid w:val="002F603C"/>
    <w:pPr>
      <w:spacing w:after="0" w:line="240" w:lineRule="auto"/>
      <w:jc w:val="center"/>
    </w:pPr>
    <w:rPr>
      <w:b/>
      <w:bCs/>
    </w:rPr>
  </w:style>
  <w:style w:customStyle="1" w:styleId="affe" w:type="paragraph">
    <w:name w:val="متن انگلیسی میان چین"/>
    <w:basedOn w:val="Normal"/>
    <w:qFormat/>
    <w:rsid w:val="006F2FE6"/>
    <w:pPr>
      <w:spacing w:line="240" w:lineRule="auto"/>
      <w:jc w:val="center"/>
    </w:pPr>
    <w:rPr>
      <w:rFonts w:cs="Times New Roman"/>
    </w:rPr>
  </w:style>
  <w:style w:customStyle="1" w:styleId="afff" w:type="paragraph">
    <w:name w:val="نام داوران به انگلیسی"/>
    <w:basedOn w:val="affe"/>
    <w:qFormat/>
    <w:rsid w:val="00BE462C"/>
    <w:pPr>
      <w:spacing w:after="0"/>
      <w:jc w:val="left"/>
    </w:pPr>
  </w:style>
  <w:style w:customStyle="1" w:styleId="afff0" w:type="paragraph">
    <w:name w:val="متن عادی هایلات شده"/>
    <w:basedOn w:val="a2"/>
    <w:qFormat/>
    <w:rsid w:val="00787648"/>
  </w:style>
  <w:style w:styleId="EndnoteText" w:type="paragraph">
    <w:name w:val="endnote text"/>
    <w:basedOn w:val="Normal"/>
    <w:link w:val="EndnoteTextChar"/>
    <w:uiPriority w:val="99"/>
    <w:semiHidden/>
    <w:unhideWhenUsed/>
    <w:rsid w:val="00F820B2"/>
    <w:pPr>
      <w:spacing w:after="0" w:line="240" w:lineRule="auto"/>
    </w:pPr>
    <w:rPr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semiHidden/>
    <w:rsid w:val="00F820B2"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sid w:val="00F820B2"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rsid w:val="00F820B2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F820B2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F820B2"/>
    <w:rPr>
      <w:vertAlign w:val="superscript"/>
    </w:rPr>
  </w:style>
  <w:style w:styleId="PlaceholderText" w:type="character">
    <w:name w:val="Placeholder Text"/>
    <w:basedOn w:val="DefaultParagraphFont"/>
    <w:uiPriority w:val="99"/>
    <w:semiHidden/>
    <w:rsid w:val="004C670C"/>
    <w:rPr>
      <w:color w:val="808080"/>
    </w:rPr>
  </w:style>
  <w:style w:customStyle="1" w:styleId="EndNoteBibliography" w:type="paragraph">
    <w:name w:val="EndNote Bibliography"/>
    <w:basedOn w:val="Normal"/>
    <w:link w:val="EndNoteBibliographyChar"/>
    <w:rsid w:val="000C7955"/>
    <w:pPr>
      <w:bidi/>
      <w:spacing w:after="0" w:line="240" w:lineRule="auto"/>
      <w:jc w:val="right"/>
    </w:pPr>
    <w:rPr>
      <w:rFonts w:cs="Times New Roman" w:eastAsia="Times New Roman"/>
      <w:noProof/>
    </w:rPr>
  </w:style>
  <w:style w:customStyle="1" w:styleId="EndNoteBibliographyChar" w:type="character">
    <w:name w:val="EndNote Bibliography Char"/>
    <w:link w:val="EndNoteBibliography"/>
    <w:rsid w:val="000C7955"/>
    <w:rPr>
      <w:rFonts w:cs="Times New Roman" w:eastAsia="Times New Roman"/>
      <w:noProof/>
    </w:rPr>
  </w:style>
  <w:style w:customStyle="1" w:styleId="EndNoteBibliographyTitle" w:type="paragraph">
    <w:name w:val="EndNote Bibliography Title"/>
    <w:basedOn w:val="Normal"/>
    <w:link w:val="EndNoteBibliographyTitleChar"/>
    <w:rsid w:val="008B353A"/>
    <w:pPr>
      <w:spacing w:after="0"/>
      <w:jc w:val="center"/>
    </w:pPr>
    <w:rPr>
      <w:rFonts w:cs="Times New Roman"/>
      <w:noProof/>
    </w:rPr>
  </w:style>
  <w:style w:customStyle="1" w:styleId="EndNoteBibliographyTitleChar" w:type="character">
    <w:name w:val="EndNote Bibliography Title Char"/>
    <w:basedOn w:val="Char"/>
    <w:link w:val="EndNoteBibliographyTitle"/>
    <w:rsid w:val="008B353A"/>
    <w:rPr>
      <w:rFonts w:cs="Times New Roman"/>
      <w:noProof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8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1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9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7" Target="numbering.xml" /><Relationship Type="http://schemas.openxmlformats.org/officeDocument/2006/relationships/styles" Id="rId26" Target="styles.xml" /><Relationship Type="http://schemas.openxmlformats.org/officeDocument/2006/relationships/settings" Id="rId25" Target="settings.xml" /><Relationship Type="http://schemas.openxmlformats.org/officeDocument/2006/relationships/webSettings" Id="rId24" Target="webSettings.xml" /><Relationship Type="http://schemas.openxmlformats.org/officeDocument/2006/relationships/fontTable" Id="rId23" Target="fontTable.xml" /><Relationship Type="http://schemas.openxmlformats.org/officeDocument/2006/relationships/theme" Id="rId22" Target="theme/theme1.xml" /><Relationship Type="http://schemas.openxmlformats.org/officeDocument/2006/relationships/footnotes" Id="rId21" Target="footnotes.xml" /><Relationship Type="http://schemas.openxmlformats.org/officeDocument/2006/relationships/comments" Id="rId20" Target="comments.xml" /><Relationship Id="rId13" Target="media/image2.gif" Type="http://schemas.openxmlformats.org/officeDocument/2006/relationships/image" /><Relationship Id="rId18" Target="media/image4.jpeg" Type="http://schemas.openxmlformats.org/officeDocument/2006/relationships/image" /><Relationship Id="rId12" Target="footer2.xml" Type="http://schemas.openxmlformats.org/officeDocument/2006/relationships/footer" /><Relationship Id="rId17" Target="footer6.xml" Type="http://schemas.openxmlformats.org/officeDocument/2006/relationships/footer" /><Relationship Id="rId16" Target="footer5.xml" Type="http://schemas.openxmlformats.org/officeDocument/2006/relationships/footer" /><Relationship Id="rId11" Target="header2.xml" Type="http://schemas.openxmlformats.org/officeDocument/2006/relationships/header" /><Relationship Id="rId15" Target="footer4.xml" Type="http://schemas.openxmlformats.org/officeDocument/2006/relationships/footer" /><Relationship Id="rId10" Target="footer1.xml" Type="http://schemas.openxmlformats.org/officeDocument/2006/relationships/footer" /><Relationship Id="rId19" Target="media/image5.jpeg" Type="http://schemas.openxmlformats.org/officeDocument/2006/relationships/image" /><Relationship Id="rId9" Target="header1.xml" Type="http://schemas.openxmlformats.org/officeDocument/2006/relationships/header" /><Relationship Id="rId14" Target="footer3.xml" Type="http://schemas.openxmlformats.org/officeDocument/2006/relationships/footer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23" Type="http://schemas.openxmlformats.org/officeDocument/2006/relationships/font" Target="fonts/font23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26131</Words>
  <Characters>148953</Characters>
  <Application>Microsoft Office Word</Application>
  <DocSecurity>0</DocSecurity>
  <Lines>1241</Lines>
  <Paragraphs>349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PGU Thesis Template in Persian</vt:lpstr>
    </vt:vector>
  </TitlesOfParts>
  <Company/>
  <LinksUpToDate>false</LinksUpToDate>
  <CharactersWithSpaces>174735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fa-IR</dc:language>
  <cp:keywords/>
  <dcterms:created xsi:type="dcterms:W3CDTF">2026-10-05T16:49:01Z</dcterms:created>
  <dcterms:modified xsi:type="dcterms:W3CDTF">2026-10-05T16:49:01Z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