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دستورالعمل-کاربری-حلگر-راهنمای-اجرا"/>
    <w:p>
      <w:pPr>
        <w:pStyle w:val="Heading1"/>
        <w:bidi/>
      </w:pPr>
      <w:r>
        <w:rPr>
          <w:rtl/>
        </w:rPr>
        <w:t xml:space="preserve">دستورالعمل کاربری حل‌گر (راهنمای اجرا)</w:t>
      </w:r>
    </w:p>
    <w:p>
      <w:pPr>
        <w:bidi/>
      </w:pPr>
      <w:r>
        <w:rPr>
          <w:rtl/>
        </w:rPr>
        <w:t xml:space="preserve">این سند یک راهنمای کوتاه و کاربردی برای اجرای کد حل‌گر ترموالاستیسیته</w:t>
      </w:r>
      <w:r>
        <w:rPr>
          <w:rtl/>
        </w:rPr>
        <w:t xml:space="preserve"> </w:t>
      </w:r>
      <w:r>
        <w:rPr>
          <w:rtl/>
        </w:rPr>
        <w:t xml:space="preserve">لرد-شولمنِ استوانهٔ چندلایهٔ متخلخل تقویت‌شده با گرافن است. برای شرح فنیِ کاملِ</w:t>
      </w:r>
      <w:r>
        <w:rPr>
          <w:rtl/>
        </w:rPr>
        <w:t xml:space="preserve"> </w:t>
      </w:r>
      <w:r>
        <w:rPr>
          <w:rtl/>
        </w:rPr>
        <w:t xml:space="preserve">ساختار درونی کد به سند «شرح فنی حل‌گر» مراجعه شود.</w:t>
      </w:r>
    </w:p>
    <w:bookmarkStart w:id="9" w:name="پیشنیازها"/>
    <w:p>
      <w:pPr>
        <w:pStyle w:val="Heading2"/>
        <w:bidi/>
      </w:pPr>
      <w:r>
        <w:rPr>
          <w:rtl/>
        </w:rPr>
        <w:t xml:space="preserve">۱. پیش‌نیازها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MATLAB R2026a</w:t>
      </w:r>
      <w:r>
        <w:rPr>
          <w:rtl/>
        </w:rPr>
        <w:t xml:space="preserve"> </w:t>
      </w:r>
      <w:r>
        <w:rPr>
          <w:rtl/>
        </w:rPr>
        <w:t xml:space="preserve">(یا نسخهٔ سازگار). هیچ جعبه‌ابزار خاصی لازم نیست؛ تنها</w:t>
      </w:r>
      <w:r>
        <w:rPr>
          <w:rtl/>
        </w:rPr>
        <w:t xml:space="preserve"> </w:t>
      </w:r>
      <w:r>
        <w:rPr>
          <w:rtl/>
        </w:rPr>
        <w:t xml:space="preserve">توابع پایه‌ای 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ode15s</w:t>
      </w:r>
      <w:r>
        <w:rPr>
          <w:rtl/>
        </w:rPr>
        <w:t xml:space="preserve"> </w:t>
      </w:r>
      <w:r>
        <w:rPr>
          <w:rtl/>
        </w:rPr>
        <w:t xml:space="preserve">(برای صحت‌سنجی) استفاده می‌شوند.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فایل اصلی حل‌گر: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claude_R6.m</w:t>
      </w:r>
      <w:r>
        <w:rPr>
          <w:rtl/>
        </w:rPr>
        <w:t xml:space="preserve"> </w:t>
      </w:r>
      <w:r>
        <w:rPr>
          <w:rtl/>
        </w:rPr>
        <w:t xml:space="preserve">(آخرین نسخه). نسخه‌های پیشین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claude_R1.m</w:t>
      </w:r>
      <w:r>
        <w:rPr>
          <w:rtl/>
        </w:rPr>
        <w:t xml:space="preserve"> </w:t>
      </w:r>
      <w:r>
        <w:rPr>
          <w:rtl/>
        </w:rPr>
        <w:t xml:space="preserve">تا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claude_R5.m</w:t>
      </w:r>
      <w:r>
        <w:rPr>
          <w:rtl/>
        </w:rPr>
        <w:t xml:space="preserve"> </w:t>
      </w:r>
      <w:r>
        <w:rPr>
          <w:rtl/>
        </w:rPr>
        <w:t xml:space="preserve">منجمد (frozen) هستند و برای بازتولید نتایج قدیمی نگه داشته شده‌اند.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مسیر اجرای متلب در این پروژه: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C:\Program Files\MATLAB\R2026a\bin\matlab.exe</w:t>
      </w:r>
      <w:r>
        <w:rPr>
          <w:rtl/>
        </w:rPr>
        <w:t xml:space="preserve">.</w:t>
      </w:r>
    </w:p>
    <w:bookmarkEnd w:id="9"/>
    <w:bookmarkStart w:id="10" w:name="اجرای-یک-حالت-منفرد-standalone"/>
    <w:p>
      <w:pPr>
        <w:pStyle w:val="Heading2"/>
        <w:bidi/>
      </w:pPr>
      <w:r>
        <w:rPr>
          <w:rtl/>
        </w:rPr>
        <w:t xml:space="preserve">۲. اجرای یک حالت منفرد (standalone)</w:t>
      </w:r>
    </w:p>
    <w:p>
      <w:pPr>
        <w:bidi/>
      </w:pPr>
      <w:r>
        <w:rPr>
          <w:rtl/>
        </w:rPr>
        <w:t xml:space="preserve">ساده‌ترین راه، ویرایش بلوک پیکربندی در بالای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claude_R6.m</w:t>
      </w:r>
      <w:r>
        <w:rPr>
          <w:rtl/>
        </w:rPr>
        <w:t xml:space="preserve"> </w:t>
      </w:r>
      <w:r>
        <w:rPr>
          <w:rtl/>
        </w:rPr>
        <w:t xml:space="preserve">و اجرای مستقیم آن است:</w:t>
      </w:r>
    </w:p>
    <w:p>
      <w:pPr>
        <w:pStyle w:val="SourceCode"/>
        <w:bidi/>
      </w:pPr>
      <w:r>
        <w:rPr>
          <w:rStyle w:val="CommentTok"/>
        </w:rPr>
        <w:t xml:space="preserve">% در پنجرهٔ فرمان متلب، در پوشهٔ claude\</w:t>
      </w:r>
      <w:r>
        <w:br/>
      </w:r>
      <w:r>
        <w:rPr>
          <w:rStyle w:val="VariableTok"/>
        </w:rPr>
        <w:t xml:space="preserve">claude_R6</w:t>
      </w:r>
    </w:p>
    <w:p>
      <w:pPr>
        <w:bidi/>
      </w:pPr>
      <w:r>
        <w:rPr>
          <w:rtl/>
        </w:rPr>
        <w:t xml:space="preserve">پارامترهای اصلی در بلوک «۰. Model configuration» و بخش‌های ۱ و ۲ قرار دارند.</w:t>
      </w:r>
      <w:r>
        <w:rPr>
          <w:rtl/>
        </w:rPr>
        <w:t xml:space="preserve"> </w:t>
      </w:r>
      <w:r>
        <w:rPr>
          <w:rtl/>
        </w:rPr>
        <w:t xml:space="preserve">مهم‌ترین‌ها: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پارامتر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معنی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 پیش‌فرض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theory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تئوری: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'FOURIER'</w:t>
            </w:r>
            <w:r>
              <w:rPr>
                <w:rtl/>
              </w:rPr>
              <w:t xml:space="preserve">،</w:t>
            </w:r>
            <w:r>
              <w:rPr>
                <w:rStyle w:val="VerbatimChar"/>
                <w:rtl/>
              </w:rPr>
              <w:t xml:space="preserve">'LS'</w:t>
            </w:r>
            <w:r>
              <w:rPr>
                <w:rtl/>
              </w:rPr>
              <w:t xml:space="preserve">،</w:t>
            </w:r>
            <w:r>
              <w:rPr>
                <w:rStyle w:val="VerbatimChar"/>
                <w:rtl/>
              </w:rPr>
              <w:t xml:space="preserve">'DPL'</w:t>
            </w:r>
            <w:r>
              <w:rPr>
                <w:rtl/>
              </w:rPr>
              <w:t xml:space="preserve">،</w:t>
            </w:r>
            <w:r>
              <w:rPr>
                <w:rStyle w:val="VerbatimChar"/>
                <w:rtl/>
              </w:rPr>
              <w:t xml:space="preserve">'GN3'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'LS'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tau0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تخفیف τ₀ (s)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1e-5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coupling_on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فعال‌بودن جملهٔ ممزوج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BC_z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تکیه‌گاه دو انتها: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'S'</w:t>
            </w:r>
            <w:r>
              <w:rPr>
                <w:rtl/>
              </w:rPr>
              <w:t xml:space="preserve">،</w:t>
            </w:r>
            <w:r>
              <w:rPr>
                <w:rStyle w:val="VerbatimChar"/>
                <w:rtl/>
              </w:rPr>
              <w:t xml:space="preserve">'C'</w:t>
            </w:r>
            <w:r>
              <w:rPr>
                <w:rtl/>
              </w:rPr>
              <w:t xml:space="preserve">،</w:t>
            </w:r>
            <w:r>
              <w:rPr>
                <w:rStyle w:val="VerbatimChar"/>
                <w:rtl/>
              </w:rPr>
              <w:t xml:space="preserve">'F'</w:t>
            </w:r>
            <w:r>
              <w:rPr>
                <w:rtl/>
              </w:rPr>
              <w:t xml:space="preserve">،</w:t>
            </w:r>
            <w:r>
              <w:rPr>
                <w:rStyle w:val="VerbatimChar"/>
                <w:rtl/>
              </w:rPr>
              <w:t xml:space="preserve">'R'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'S'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BC_z0</w:t>
            </w:r>
            <w:r>
              <w:rPr>
                <w:rtl/>
              </w:rPr>
              <w:t xml:space="preserve">,</w:t>
            </w:r>
            <w:r>
              <w:rPr>
                <w:rStyle w:val="VerbatimChar"/>
                <w:rtl/>
              </w:rPr>
              <w:t xml:space="preserve">BC_zL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بازنویسی هر انتها جداگانه (خالی =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BC_z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''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GPL_pattern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الگوی گرافن: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'UD'</w:t>
            </w:r>
            <w:r>
              <w:rPr>
                <w:rtl/>
              </w:rPr>
              <w:t xml:space="preserve">،</w:t>
            </w:r>
            <w:r>
              <w:rPr>
                <w:rStyle w:val="VerbatimChar"/>
                <w:rtl/>
              </w:rPr>
              <w:t xml:space="preserve">'O'</w:t>
            </w:r>
            <w:r>
              <w:rPr>
                <w:rtl/>
              </w:rPr>
              <w:t xml:space="preserve">،</w:t>
            </w:r>
            <w:r>
              <w:rPr>
                <w:rStyle w:val="VerbatimChar"/>
                <w:rtl/>
              </w:rPr>
              <w:t xml:space="preserve">'X'</w:t>
            </w:r>
            <w:r>
              <w:rPr>
                <w:rtl/>
              </w:rPr>
              <w:t xml:space="preserve">،</w:t>
            </w:r>
            <w:r>
              <w:rPr>
                <w:rStyle w:val="VerbatimChar"/>
                <w:rtl/>
              </w:rPr>
              <w:t xml:space="preserve">'V'</w:t>
            </w:r>
            <w:r>
              <w:rPr>
                <w:rtl/>
              </w:rPr>
              <w:t xml:space="preserve">،</w:t>
            </w:r>
            <w:r>
              <w:rPr>
                <w:rStyle w:val="VerbatimChar"/>
                <w:rtl/>
              </w:rPr>
              <w:t xml:space="preserve">'A'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'UD'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porosity_pattern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الگوی تخلخل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'UD'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W_GPL_total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کسر وزنی کل گرافن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0.04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em3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ضریب جرمی تخلخل (سطح تخلخل)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0.8980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a_GPL,b_GPL,t_GPL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نیم‌طول/نیم‌عرض/ضخامت پلاکت (m)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2.5e-6,1.5e-6,1.5e-9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NL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تعداد لایه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R_i,R_o,L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شعاع داخلی/خارجی/طول (m)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0.1,0.2,0.5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N_r,N_z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نقاط DQ شعاعی/محوری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9,11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T_in_val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دمای نهایی سطح داخلی (K)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h_c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ضریب همرفت سطح خارجی (W/m²K)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P_i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فشار داخلی (Pa)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1e6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total_time</w:t>
            </w:r>
            <w:r>
              <w:rPr>
                <w:rtl/>
              </w:rPr>
              <w:t xml:space="preserve">,</w:t>
            </w:r>
            <w:r>
              <w:rPr>
                <w:rStyle w:val="VerbatimChar"/>
                <w:rtl/>
              </w:rPr>
              <w:t xml:space="preserve">dt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کل/گام زمانی (s)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0.05,5e-4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gam,bet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پارامترهای نیومارک δ,β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0.5,0.25</w:t>
            </w:r>
          </w:p>
        </w:tc>
      </w:tr>
    </w:tbl>
    <w:p>
      <w:pPr>
        <w:pStyle w:val="BlockText"/>
        <w:bidi/>
      </w:pPr>
      <w:r>
        <w:rPr>
          <w:b/>
          <w:bCs/>
          <w:rtl/>
        </w:rPr>
        <w:t xml:space="preserve">هشدار مهم (الگوهای تخلخل):</w:t>
      </w:r>
      <w:r>
        <w:rPr>
          <w:rtl/>
        </w:rPr>
        <w:t xml:space="preserve"> </w:t>
      </w:r>
      <w:r>
        <w:rPr>
          <w:rtl/>
        </w:rPr>
        <w:t xml:space="preserve">تنها الگوی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'UD'</w:t>
      </w:r>
      <w:r>
        <w:rPr>
          <w:rtl/>
        </w:rPr>
        <w:t xml:space="preserve"> </w:t>
      </w:r>
      <w:r>
        <w:rPr>
          <w:rtl/>
        </w:rPr>
        <w:t xml:space="preserve">به‌طور کامل با مرجع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MZ-R 0.docx</w:t>
      </w:r>
      <w:r>
        <w:rPr>
          <w:rtl/>
        </w:rPr>
        <w:t xml:space="preserve">) صحت‌سنجی شده است. الگوهای V/A از روی فرمول‌های docx پیاده</w:t>
      </w:r>
      <w:r>
        <w:rPr>
          <w:rtl/>
        </w:rPr>
        <w:t xml:space="preserve"> </w:t>
      </w:r>
      <w:r>
        <w:rPr>
          <w:rtl/>
        </w:rPr>
        <w:t xml:space="preserve">شده‌اند اما هنوز تأیید نهایی نشده‌اند و در کد یک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warning</w:t>
      </w:r>
      <w:r>
        <w:rPr>
          <w:rtl/>
        </w:rPr>
        <w:t xml:space="preserve"> </w:t>
      </w:r>
      <w:r>
        <w:rPr>
          <w:rtl/>
        </w:rPr>
        <w:t xml:space="preserve">زمان‌اجرا صادر</w:t>
      </w:r>
      <w:r>
        <w:rPr>
          <w:rtl/>
        </w:rPr>
        <w:t xml:space="preserve"> </w:t>
      </w:r>
      <w:r>
        <w:rPr>
          <w:rtl/>
        </w:rPr>
        <w:t xml:space="preserve">می‌کنند. طبق بازخورد Prom.2 (بند ز) این الگوها باید با الگوهای جدید فایل MZ</w:t>
      </w:r>
      <w:r>
        <w:rPr>
          <w:rtl/>
        </w:rPr>
        <w:t xml:space="preserve"> </w:t>
      </w:r>
      <w:r>
        <w:rPr>
          <w:rtl/>
        </w:rPr>
        <w:t xml:space="preserve">جایگزین شوند.</w:t>
      </w:r>
    </w:p>
    <w:bookmarkEnd w:id="10"/>
    <w:bookmarkStart w:id="11" w:name="X1d2dd123e2032916be56e99c2a28bec1d8ceea1"/>
    <w:p>
      <w:pPr>
        <w:pStyle w:val="Heading2"/>
        <w:bidi/>
      </w:pPr>
      <w:r>
        <w:rPr>
          <w:rtl/>
        </w:rPr>
        <w:t xml:space="preserve">۳. اجرای دسته‌ای با سازوکار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cfg</w:t>
      </w:r>
      <w:r>
        <w:rPr>
          <w:rtl/>
        </w:rPr>
        <w:t xml:space="preserve"> </w:t>
      </w:r>
      <w:r>
        <w:rPr>
          <w:rtl/>
        </w:rPr>
        <w:t xml:space="preserve">(بدون ویرایش فایل)</w:t>
      </w:r>
    </w:p>
    <w:p>
      <w:pPr>
        <w:bidi/>
      </w:pPr>
      <w:r>
        <w:rPr>
          <w:rtl/>
        </w:rPr>
        <w:t xml:space="preserve">برای مطالعات پارامتری، فایل حل‌گر ویرایش</w:t>
      </w:r>
      <w:r>
        <w:rPr>
          <w:rtl/>
        </w:rPr>
        <w:t xml:space="preserve"> </w:t>
      </w:r>
      <w:r>
        <w:rPr>
          <w:b/>
          <w:bCs/>
          <w:rtl/>
        </w:rPr>
        <w:t xml:space="preserve">نمی‌شود</w:t>
      </w:r>
      <w:r>
        <w:rPr>
          <w:rtl/>
        </w:rPr>
        <w:t xml:space="preserve">؛ به‌جای آن یک ساختار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cfg</w:t>
      </w:r>
      <w:r>
        <w:rPr>
          <w:rtl/>
        </w:rPr>
        <w:t xml:space="preserve"> </w:t>
      </w:r>
      <w:r>
        <w:rPr>
          <w:rtl/>
        </w:rPr>
        <w:t xml:space="preserve">در فضای کاری ساخته می‌شود و حل‌گر مقادیر آن را پس از بلوک پیکربندی اعمال</w:t>
      </w:r>
      <w:r>
        <w:rPr>
          <w:rtl/>
        </w:rPr>
        <w:t xml:space="preserve"> </w:t>
      </w:r>
      <w:r>
        <w:rPr>
          <w:rtl/>
        </w:rPr>
        <w:t xml:space="preserve">می‌کند. حل‌گر در ابتدا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clearvars -except cfg</w:t>
      </w:r>
      <w:r>
        <w:rPr>
          <w:rtl/>
        </w:rPr>
        <w:t xml:space="preserve"> </w:t>
      </w:r>
      <w:r>
        <w:rPr>
          <w:rtl/>
        </w:rPr>
        <w:t xml:space="preserve">می‌کند، سپس هر میدان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cfg</w:t>
      </w:r>
      <w:r>
        <w:rPr>
          <w:rtl/>
        </w:rPr>
        <w:t xml:space="preserve"> </w:t>
      </w:r>
      <w:r>
        <w:rPr>
          <w:rtl/>
        </w:rPr>
        <w:t xml:space="preserve">را</w:t>
      </w:r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eval</w:t>
      </w:r>
      <w:r>
        <w:rPr>
          <w:rtl/>
        </w:rPr>
        <w:t xml:space="preserve"> </w:t>
      </w:r>
      <w:r>
        <w:rPr>
          <w:rtl/>
        </w:rPr>
        <w:t xml:space="preserve">روی متغیر متناظر می‌نشاند. اگر نام میدانی با هیچ متغیر پیکربندی</w:t>
      </w:r>
      <w:r>
        <w:rPr>
          <w:rtl/>
        </w:rPr>
        <w:t xml:space="preserve"> </w:t>
      </w:r>
      <w:r>
        <w:rPr>
          <w:rtl/>
        </w:rPr>
        <w:t xml:space="preserve">مطابقت نداشته باشد، یک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warning</w:t>
      </w:r>
      <w:r>
        <w:rPr>
          <w:rtl/>
        </w:rPr>
        <w:t xml:space="preserve"> </w:t>
      </w:r>
      <w:r>
        <w:rPr>
          <w:rtl/>
        </w:rPr>
        <w:t xml:space="preserve">صادر می‌شود (محافظت در برابر غلط املایی).</w:t>
      </w:r>
    </w:p>
    <w:p>
      <w:pPr>
        <w:pStyle w:val="SourceCode"/>
        <w:bidi/>
      </w:pPr>
      <w:r>
        <w:rPr>
          <w:rStyle w:val="VariableTok"/>
        </w:rPr>
        <w:t xml:space="preserve">cfg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struct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cfg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theory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'LS'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cfg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GPL_pattern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'V'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cfg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porosity_pattern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'A'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cfg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W_GPL_total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cfg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BC_z0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cfg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BC_zL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'C'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% تکیه‌گاه ترکیبی</w:t>
      </w:r>
      <w:r>
        <w:br/>
      </w:r>
      <w:r>
        <w:rPr>
          <w:rStyle w:val="VariableTok"/>
        </w:rPr>
        <w:t xml:space="preserve">cfg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out_name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'results\my_case.mat'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claude_R6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% cfg به‌طور خودکار اعمال می‌شود</w:t>
      </w:r>
    </w:p>
    <w:p>
      <w:pPr>
        <w:bidi/>
      </w:pPr>
      <w:r>
        <w:rPr>
          <w:rtl/>
        </w:rPr>
        <w:t xml:space="preserve">نکته: میدان‌ها را با «ادغام میدانی» (تخصیص جداگانه) بسازید، نه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struct('BC_z','S', ... )</w:t>
      </w:r>
      <w:r>
        <w:rPr>
          <w:rtl/>
        </w:rPr>
        <w:t xml:space="preserve"> </w:t>
      </w:r>
      <w:r>
        <w:rPr>
          <w:rtl/>
        </w:rPr>
        <w:t xml:space="preserve">که در صورت تکرار نام میدان خطا می‌دهد.</w:t>
      </w:r>
    </w:p>
    <w:bookmarkEnd w:id="11"/>
    <w:bookmarkStart w:id="12" w:name="اجرای-کارزار-پارامتری-از-powershell"/>
    <w:p>
      <w:pPr>
        <w:pStyle w:val="Heading2"/>
        <w:bidi/>
      </w:pPr>
      <w:r>
        <w:rPr>
          <w:rtl/>
        </w:rPr>
        <w:t xml:space="preserve">۴. اجرای کارزار پارامتری از PowerShell</w:t>
      </w:r>
    </w:p>
    <w:p>
      <w:pPr>
        <w:bidi/>
      </w:pPr>
      <w:r>
        <w:rPr>
          <w:rtl/>
        </w:rPr>
        <w:t xml:space="preserve">اسکریپت‌های هماهنگ‌کنندهٔ آماده (</w:t>
      </w:r>
      <w:r>
        <w:rPr>
          <w:rStyle w:val="VerbatimChar"/>
          <w:rtl/>
        </w:rPr>
        <w:t xml:space="preserve">run_param_studies_v4.ps1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run_param_studies_v5.ps1</w:t>
      </w:r>
      <w:r>
        <w:rPr>
          <w:rtl/>
        </w:rPr>
        <w:t xml:space="preserve">) هر حالت را با یک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cfg</w:t>
      </w:r>
      <w:r>
        <w:rPr>
          <w:rtl/>
        </w:rPr>
        <w:t xml:space="preserve"> </w:t>
      </w:r>
      <w:r>
        <w:rPr>
          <w:rtl/>
        </w:rPr>
        <w:t xml:space="preserve">جداگانه در یک نمونهٔ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matlab -batch</w:t>
      </w:r>
      <w:r>
        <w:rPr>
          <w:rtl/>
        </w:rPr>
        <w:t xml:space="preserve"> </w:t>
      </w:r>
      <w:r>
        <w:rPr>
          <w:rtl/>
        </w:rPr>
        <w:t xml:space="preserve">اجرا می‌کنند و از قبل موجودها را رد می‌کنند (skip-existing).</w:t>
      </w:r>
    </w:p>
    <w:p>
      <w:pPr>
        <w:pStyle w:val="SourceCode"/>
        <w:bidi/>
      </w:pPr>
      <w:r>
        <w:rPr>
          <w:rStyle w:val="CommentTok"/>
        </w:rPr>
        <w:t xml:space="preserve"># در پوشهٔ claude\</w:t>
      </w:r>
      <w:r>
        <w:br/>
      </w: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\run_param_studies_v4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BlockText"/>
        <w:bidi/>
      </w:pPr>
      <w:r>
        <w:rPr>
          <w:b/>
          <w:bCs/>
          <w:rtl/>
        </w:rPr>
        <w:t xml:space="preserve">محدودیت مهم:</w:t>
      </w:r>
      <w:r>
        <w:rPr>
          <w:rtl/>
        </w:rPr>
        <w:t xml:space="preserve"> </w:t>
      </w:r>
      <w:r>
        <w:rPr>
          <w:rtl/>
        </w:rPr>
        <w:t xml:space="preserve">بیشینهٔ</w:t>
      </w:r>
      <w:r>
        <w:rPr>
          <w:rtl/>
        </w:rPr>
        <w:t xml:space="preserve"> </w:t>
      </w:r>
      <w:r>
        <w:rPr>
          <w:b/>
          <w:bCs/>
          <w:rtl/>
        </w:rPr>
        <w:t xml:space="preserve">۳</w:t>
      </w:r>
      <w:r>
        <w:rPr>
          <w:rtl/>
        </w:rPr>
        <w:t xml:space="preserve"> </w:t>
      </w:r>
      <w:r>
        <w:rPr>
          <w:rtl/>
        </w:rPr>
        <w:t xml:space="preserve">نمونهٔ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matlab -batch</w:t>
      </w:r>
      <w:r>
        <w:rPr>
          <w:rtl/>
        </w:rPr>
        <w:t xml:space="preserve"> </w:t>
      </w:r>
      <w:r>
        <w:rPr>
          <w:rtl/>
        </w:rPr>
        <w:t xml:space="preserve">هم‌زمان مجاز است؛ نمونهٔ</w:t>
      </w:r>
      <w:r>
        <w:rPr>
          <w:rtl/>
        </w:rPr>
        <w:t xml:space="preserve"> </w:t>
      </w:r>
      <w:r>
        <w:rPr>
          <w:rtl/>
        </w:rPr>
        <w:t xml:space="preserve">چهارم خطای گذرای مجوز MathWorks (کد ۵۰۰۱) ایجاد می‌کند. اجراهای شکل/آمار را</w:t>
      </w:r>
      <w:r>
        <w:rPr>
          <w:rtl/>
        </w:rPr>
        <w:t xml:space="preserve"> </w:t>
      </w:r>
      <w:r>
        <w:rPr>
          <w:rtl/>
        </w:rPr>
        <w:t xml:space="preserve">هم‌زمان با کارزار به‌عنوان نمونهٔ چهارم اجرا نکنید.</w:t>
      </w:r>
    </w:p>
    <w:bookmarkEnd w:id="12"/>
    <w:bookmarkStart w:id="13" w:name="تولید-شکلها"/>
    <w:p>
      <w:pPr>
        <w:pStyle w:val="Heading2"/>
        <w:bidi/>
      </w:pPr>
      <w:r>
        <w:rPr>
          <w:rtl/>
        </w:rPr>
        <w:t xml:space="preserve">۵. تولید شکل‌ها</w:t>
      </w:r>
    </w:p>
    <w:p>
      <w:pPr>
        <w:bidi/>
      </w:pPr>
      <w:r>
        <w:rPr>
          <w:rtl/>
        </w:rPr>
        <w:t xml:space="preserve">پس از اتمام کارزار، اسکریپت‌های شکل، فایل‌های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.mat</w:t>
      </w:r>
      <w:r>
        <w:rPr>
          <w:rtl/>
        </w:rPr>
        <w:t xml:space="preserve"> </w:t>
      </w:r>
      <w:r>
        <w:rPr>
          <w:rtl/>
        </w:rPr>
        <w:t xml:space="preserve">را خوانده و مجموعه شکل‌های</w:t>
      </w:r>
      <w:r>
        <w:rPr>
          <w:rtl/>
        </w:rPr>
        <w:t xml:space="preserve"> </w:t>
      </w:r>
      <w:r>
        <w:rPr>
          <w:rtl/>
        </w:rPr>
        <w:t xml:space="preserve">سیاه‌وسفید و رنگی را می‌سازند:</w:t>
      </w:r>
    </w:p>
    <w:p>
      <w:pPr>
        <w:pStyle w:val="SourceCode"/>
        <w:bidi/>
      </w:pPr>
      <w:r>
        <w:rPr>
          <w:rStyle w:val="VariableTok"/>
        </w:rPr>
        <w:t xml:space="preserve">claude_param_figures_R4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% -&gt; results_campaign\figures_print\</w:t>
      </w:r>
      <w:r>
        <w:br/>
      </w:r>
      <w:r>
        <w:rPr>
          <w:rStyle w:val="VariableTok"/>
        </w:rPr>
        <w:t xml:space="preserve">claude_param_figures_R4_color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-&gt; results_campaign\figures_color\</w:t>
      </w:r>
    </w:p>
    <w:p>
      <w:pPr>
        <w:bidi/>
      </w:pPr>
      <w:r>
        <w:rPr>
          <w:rtl/>
        </w:rPr>
        <w:t xml:space="preserve">شکل‌های سیاه‌وسفید از رنگ‌های خاکستری + سبک خط + نشانگر استفاده می‌کنند تا در</w:t>
      </w:r>
      <w:r>
        <w:rPr>
          <w:rtl/>
        </w:rPr>
        <w:t xml:space="preserve"> </w:t>
      </w:r>
      <w:r>
        <w:rPr>
          <w:rtl/>
        </w:rPr>
        <w:t xml:space="preserve">چاپ تک‌رنگ خوانا باشند. شکل‌های گسترشی (T2, T3)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results_extensions\</w:t>
      </w:r>
      <w:r>
        <w:rPr>
          <w:rtl/>
        </w:rPr>
        <w:t xml:space="preserve"> </w:t>
      </w:r>
      <w:r>
        <w:rPr>
          <w:rtl/>
        </w:rPr>
        <w:t xml:space="preserve">تولید</w:t>
      </w:r>
      <w:r>
        <w:rPr>
          <w:rtl/>
        </w:rPr>
        <w:t xml:space="preserve"> </w:t>
      </w:r>
      <w:r>
        <w:rPr>
          <w:rtl/>
        </w:rPr>
        <w:t xml:space="preserve">می‌شوند.</w:t>
      </w:r>
    </w:p>
    <w:bookmarkEnd w:id="13"/>
    <w:bookmarkStart w:id="14" w:name="خروجیها"/>
    <w:p>
      <w:pPr>
        <w:pStyle w:val="Heading2"/>
        <w:bidi/>
      </w:pPr>
      <w:r>
        <w:rPr>
          <w:rtl/>
        </w:rPr>
        <w:t xml:space="preserve">۶. خروجی‌ها</w:t>
      </w:r>
    </w:p>
    <w:p>
      <w:pPr>
        <w:bidi/>
      </w:pPr>
      <w:r>
        <w:rPr>
          <w:rtl/>
        </w:rPr>
        <w:t xml:space="preserve">هر اجرا یک فایل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.mat</w:t>
      </w:r>
      <w:r>
        <w:rPr>
          <w:rtl/>
        </w:rPr>
        <w:t xml:space="preserve"> </w:t>
      </w:r>
      <w:r>
        <w:rPr>
          <w:rtl/>
        </w:rPr>
        <w:t xml:space="preserve">(نام از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out_name</w:t>
      </w:r>
      <w:r>
        <w:rPr>
          <w:rtl/>
        </w:rPr>
        <w:t xml:space="preserve">) ذخیره می‌کند شامل:</w:t>
      </w:r>
    </w:p>
    <w:p>
      <w:pPr>
        <w:pStyle w:val="Compact"/>
        <w:numPr>
          <w:ilvl w:val="0"/>
          <w:numId w:val="1002"/>
        </w:numPr>
        <w:bidi/>
      </w:pPr>
      <w:r>
        <w:rPr>
          <w:rStyle w:val="VerbatimChar"/>
          <w:rtl/>
        </w:rPr>
        <w:t xml:space="preserve">tv</w:t>
      </w:r>
      <w:r>
        <w:rPr>
          <w:rtl/>
        </w:rPr>
        <w:t xml:space="preserve"> </w:t>
      </w:r>
      <w:r>
        <w:rPr>
          <w:rtl/>
        </w:rPr>
        <w:t xml:space="preserve">: بردار زمان.</w:t>
      </w:r>
    </w:p>
    <w:p>
      <w:pPr>
        <w:pStyle w:val="Compact"/>
        <w:numPr>
          <w:ilvl w:val="0"/>
          <w:numId w:val="1002"/>
        </w:numPr>
        <w:bidi/>
      </w:pPr>
      <w:r>
        <w:rPr>
          <w:rStyle w:val="VerbatimChar"/>
          <w:rtl/>
        </w:rPr>
        <w:t xml:space="preserve">hist_T</w:t>
      </w:r>
      <w:r>
        <w:rPr>
          <w:rtl/>
        </w:rPr>
        <w:t xml:space="preserve">,</w:t>
      </w:r>
      <w:r>
        <w:rPr>
          <w:rStyle w:val="VerbatimChar"/>
          <w:rtl/>
        </w:rPr>
        <w:t xml:space="preserve">hist_U</w:t>
      </w:r>
      <w:r>
        <w:rPr>
          <w:rtl/>
        </w:rPr>
        <w:t xml:space="preserve">,</w:t>
      </w:r>
      <w:r>
        <w:rPr>
          <w:rStyle w:val="VerbatimChar"/>
          <w:rtl/>
        </w:rPr>
        <w:t xml:space="preserve">hist_W</w:t>
      </w:r>
      <w:r>
        <w:rPr>
          <w:rtl/>
        </w:rPr>
        <w:t xml:space="preserve"> </w:t>
      </w:r>
      <w:r>
        <w:rPr>
          <w:rtl/>
        </w:rPr>
        <w:t xml:space="preserve">: تاریخچهٔ زمانی دما و جابجایی شعاعی/محوری نقطهٔ</w:t>
      </w:r>
      <w:r>
        <w:rPr>
          <w:rtl/>
        </w:rPr>
        <w:t xml:space="preserve"> </w:t>
      </w:r>
      <w:r>
        <w:rPr>
          <w:rtl/>
        </w:rPr>
        <w:t xml:space="preserve">میانی ضخامت در مقطع میانی طول.</w:t>
      </w:r>
    </w:p>
    <w:p>
      <w:pPr>
        <w:pStyle w:val="Compact"/>
        <w:numPr>
          <w:ilvl w:val="0"/>
          <w:numId w:val="1002"/>
        </w:numPr>
        <w:bidi/>
      </w:pPr>
      <w:r>
        <w:rPr>
          <w:rStyle w:val="VerbatimChar"/>
          <w:rtl/>
        </w:rPr>
        <w:t xml:space="preserve">hist_Ti</w:t>
      </w:r>
      <w:r>
        <w:rPr>
          <w:rtl/>
        </w:rPr>
        <w:t xml:space="preserve"> </w:t>
      </w:r>
      <w:r>
        <w:rPr>
          <w:rtl/>
        </w:rPr>
        <w:t xml:space="preserve">: تاریخچهٔ دمای محرک سطح داخلی.</w:t>
      </w:r>
    </w:p>
    <w:p>
      <w:pPr>
        <w:pStyle w:val="Compact"/>
        <w:numPr>
          <w:ilvl w:val="0"/>
          <w:numId w:val="1002"/>
        </w:numPr>
        <w:bidi/>
      </w:pPr>
      <w:r>
        <w:rPr>
          <w:rStyle w:val="VerbatimChar"/>
          <w:rtl/>
        </w:rPr>
        <w:t xml:space="preserve">snaps</w:t>
      </w:r>
      <w:r>
        <w:rPr>
          <w:rtl/>
        </w:rPr>
        <w:t xml:space="preserve">,</w:t>
      </w:r>
      <w:r>
        <w:rPr>
          <w:rStyle w:val="VerbatimChar"/>
          <w:rtl/>
        </w:rPr>
        <w:t xml:space="preserve">snap_t</w:t>
      </w:r>
      <w:r>
        <w:rPr>
          <w:rtl/>
        </w:rPr>
        <w:t xml:space="preserve"> </w:t>
      </w:r>
      <w:r>
        <w:rPr>
          <w:rtl/>
        </w:rPr>
        <w:t xml:space="preserve">: تصویرهای لحظه‌ای میدان کامل در چند زمان (برای پروفیل‌ها).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در صورت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store_full_history=true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X_hist</w:t>
      </w:r>
      <w:r>
        <w:rPr>
          <w:rtl/>
        </w:rPr>
        <w:t xml:space="preserve"> </w:t>
      </w:r>
      <w:r>
        <w:rPr>
          <w:rtl/>
        </w:rPr>
        <w:t xml:space="preserve">(کل میدان در هر گام زمانی، ابعاد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Ndof × (Nt+1)</w:t>
      </w:r>
      <w:r>
        <w:rPr>
          <w:rtl/>
        </w:rPr>
        <w:t xml:space="preserve">).</w:t>
      </w:r>
    </w:p>
    <w:p>
      <w:pPr>
        <w:bidi/>
      </w:pPr>
      <w:r>
        <w:rPr>
          <w:rtl/>
        </w:rPr>
        <w:t xml:space="preserve">اسکریپت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claude_chapter_stats.m</w:t>
      </w:r>
      <w:r>
        <w:rPr>
          <w:rtl/>
        </w:rPr>
        <w:t xml:space="preserve"> </w:t>
      </w:r>
      <w:r>
        <w:rPr>
          <w:rtl/>
        </w:rPr>
        <w:t xml:space="preserve">این فایل‌ها را می‌خواند و جدول آماری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chapter_stats.csv</w:t>
      </w:r>
      <w:r>
        <w:rPr>
          <w:rtl/>
        </w:rPr>
        <w:t xml:space="preserve"> </w:t>
      </w:r>
      <w:r>
        <w:rPr>
          <w:rtl/>
        </w:rPr>
        <w:t xml:space="preserve">(بیشینه/نهاییِ کمیت‌های بی‌بعد هر حالت) را می‌سازد که مبنای</w:t>
      </w:r>
      <w:r>
        <w:rPr>
          <w:rtl/>
        </w:rPr>
        <w:t xml:space="preserve"> </w:t>
      </w:r>
      <w:r>
        <w:rPr>
          <w:rtl/>
        </w:rPr>
        <w:t xml:space="preserve">اعداد فصل چهارم است.</w:t>
      </w:r>
    </w:p>
    <w:bookmarkEnd w:id="14"/>
    <w:bookmarkStart w:id="15" w:name="نقشه-نسخهها"/>
    <w:p>
      <w:pPr>
        <w:pStyle w:val="Heading2"/>
        <w:bidi/>
      </w:pPr>
      <w:r>
        <w:rPr>
          <w:rtl/>
        </w:rPr>
        <w:t xml:space="preserve">۷. نقشهٔ نسخه‌ها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نسخه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افزوده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claude_R1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حل‌گر پایهٔ تصحیح‌شده (منجمد، صحت‌سنجی‌شده)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claude_R2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موتور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cfg</w:t>
            </w:r>
            <w:r>
              <w:rPr>
                <w:rtl/>
              </w:rPr>
              <w:t xml:space="preserve">، ذخیرهٔ کامل تاریخچه، فشار سینوسی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claude_R3</w:t>
            </w:r>
            <w:r>
              <w:rPr>
                <w:rtl/>
              </w:rPr>
              <w:t xml:space="preserve">/</w:t>
            </w:r>
            <w:r>
              <w:rPr>
                <w:rStyle w:val="VerbatimChar"/>
                <w:rtl/>
              </w:rPr>
              <w:t xml:space="preserve">R3_1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گزینه‌های شرط مرزی، الگوهای تخلخل نهایی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claude_R4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شوک حرارتی گاوسی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claude_R5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انتخاب تئوری (FOURIER/LS/DPL/GN3)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claude_R6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تکیه‌گاه هر انتها جداگانه + ابعاد گرافن قابل‌بازنویسی از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cfg</w:t>
            </w:r>
          </w:p>
        </w:tc>
      </w:tr>
    </w:tbl>
    <w:p>
      <w:pPr>
        <w:bidi/>
      </w:pPr>
      <w:r>
        <w:rPr>
          <w:rtl/>
        </w:rPr>
        <w:t xml:space="preserve">هر نسخه، نتایج پیش‌فرض نسخهٔ قبل را رقم‌به‌رقم بازتولید می‌کند (پیش از استفاده</w:t>
      </w:r>
      <w:r>
        <w:rPr>
          <w:rtl/>
        </w:rPr>
        <w:t xml:space="preserve"> </w:t>
      </w:r>
      <w:r>
        <w:rPr>
          <w:rtl/>
        </w:rPr>
        <w:t xml:space="preserve">راستی‌آزمایی می‌شود). قاعدهٔ کار: کد صحت‌سنجی‌شده هرگز درجا ویرایش نمی‌شود؛</w:t>
      </w:r>
      <w:r>
        <w:rPr>
          <w:rtl/>
        </w:rPr>
        <w:t xml:space="preserve"> </w:t>
      </w:r>
      <w:r>
        <w:rPr>
          <w:rtl/>
        </w:rPr>
        <w:t xml:space="preserve">ویژگی جدید = یک نسخهٔ جدید با افزوده‌های جراحی و نشانه‌دار.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2026-07-28T00:45:02Z</dcterms:created>
  <dcterms:modified xsi:type="dcterms:W3CDTF">2026-07-28T00:45:02Z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