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03237896089d68188f498fc987350b1d5bb6ec"/>
    <w:p>
      <w:pPr>
        <w:pStyle w:val="Heading1"/>
        <w:bidi/>
      </w:pPr>
      <w:r>
        <w:rPr>
          <w:rtl/>
        </w:rPr>
        <w:t xml:space="preserve">داوریِ سخت‌گیرانهٔ جلسهٔ دفاع — نقد فصل‌های تدوین‌شدهٔ پایان‌نامه</w:t>
      </w:r>
    </w:p>
    <w:p>
      <w:pPr>
        <w:bidi/>
      </w:pPr>
      <w:r>
        <w:rPr>
          <w:rtl/>
        </w:rPr>
        <w:t xml:space="preserve">این گزارش با نگاهِ داورِ سخت‌گیرِ جلسهٔ دفاع نوشته شده است. هدف آن است که پیش از تحویلِ نهایی،</w:t>
      </w:r>
      <w:r>
        <w:rPr>
          <w:rtl/>
        </w:rPr>
        <w:t xml:space="preserve"> </w:t>
      </w:r>
      <w:r>
        <w:rPr>
          <w:rtl/>
        </w:rPr>
        <w:t xml:space="preserve">هر ایراد، شکاف یا ادعای بی‌پشتوانه‌ای که یک داورِ واقعی مطرح می‌کند شناسایی و برای آن راهِ حلِ</w:t>
      </w:r>
      <w:r>
        <w:rPr>
          <w:rtl/>
        </w:rPr>
        <w:t xml:space="preserve"> </w:t>
      </w:r>
      <w:r>
        <w:rPr>
          <w:rtl/>
        </w:rPr>
        <w:t xml:space="preserve">مشخص پیشنهاد شود. هر مورد با یک درجهٔ اهمیت (</w:t>
      </w:r>
      <w:r>
        <w:rPr>
          <w:b/>
          <w:bCs/>
          <w:rtl/>
        </w:rPr>
        <w:t xml:space="preserve">بالا / متوسط / کم</w:t>
      </w:r>
      <w:r>
        <w:rPr>
          <w:rtl/>
        </w:rPr>
        <w:t xml:space="preserve">) همراه است. مبنای همهٔ</w:t>
      </w:r>
      <w:r>
        <w:rPr>
          <w:rtl/>
        </w:rPr>
        <w:t xml:space="preserve"> </w:t>
      </w:r>
      <w:r>
        <w:rPr>
          <w:rtl/>
        </w:rPr>
        <w:t xml:space="preserve">موارد، متنِ واقعیِ فصل‌هاست؛ چند ادعای فنی نیز در برابر حل‌گر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claude_R8.m</w:t>
      </w:r>
      <w:r>
        <w:rPr>
          <w:rtl/>
        </w:rPr>
        <w:t xml:space="preserve"> </w:t>
      </w:r>
      <w:r>
        <w:rPr>
          <w:rtl/>
        </w:rPr>
        <w:t xml:space="preserve">راستی‌آزمایی شده است.</w:t>
      </w:r>
    </w:p>
    <w:p>
      <w:r>
        <w:pict>
          <v:rect style="width:0;height:1.5pt" o:hralign="center" o:hrstd="t" o:hr="t"/>
        </w:pict>
      </w:r>
    </w:p>
    <w:bookmarkStart w:id="11" w:name="فصل-یکم-چارچوب-پژوهش"/>
    <w:p>
      <w:pPr>
        <w:pStyle w:val="Heading2"/>
        <w:bidi/>
      </w:pPr>
      <w:r>
        <w:rPr>
          <w:rtl/>
        </w:rPr>
        <w:t xml:space="preserve">فصل یکم — چارچوب پژوهش</w:t>
      </w:r>
    </w:p>
    <w:bookmarkStart w:id="9" w:name="نقاط-قوت"/>
    <w:p>
      <w:pPr>
        <w:pStyle w:val="Heading3"/>
        <w:bidi/>
      </w:pPr>
      <w:r>
        <w:rPr>
          <w:rtl/>
        </w:rPr>
        <w:t xml:space="preserve">نقاط قوت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ساختارِ کاملِ یک فصلِ مقدماتیِ استاندارد را دارد: مقدمه، تاریخچه، تعریف موضوع، اهداف، روش،</w:t>
      </w:r>
      <w:r>
        <w:rPr>
          <w:rtl/>
        </w:rPr>
        <w:t xml:space="preserve"> </w:t>
      </w:r>
      <w:r>
        <w:rPr>
          <w:rtl/>
        </w:rPr>
        <w:t xml:space="preserve">اهمیت، محدودیت‌ها، واژگان و خلاصهٔ فصل‌ها.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انگیزهٔ فیزیکیِ به‌کارگیریِ نظریهٔ لرد–شولمن (سرعتِ متناهیِ موج، ناکارآمدیِ فوریه در شوک) روشن و</w:t>
      </w:r>
      <w:r>
        <w:rPr>
          <w:rtl/>
        </w:rPr>
        <w:t xml:space="preserve"> </w:t>
      </w:r>
      <w:r>
        <w:rPr>
          <w:rtl/>
        </w:rPr>
        <w:t xml:space="preserve">درست بیان شده و در حدِ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به فوریه بازمی‌گردد.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پرسش‌های پژوهش (§۱-۴) دقیق و پاسخ‌پذیرند و با مطالعاتِ فصل چهارم تناظر دارند.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بخش محدودیت‌ها (§۱-۷) صادقانه و فهرست‌وار است — نکته‌ای که داوران آن را می‌پسندند.</w:t>
      </w:r>
    </w:p>
    <w:bookmarkEnd w:id="9"/>
    <w:bookmarkStart w:id="10" w:name="ضعفها-و-شکافها"/>
    <w:p>
      <w:pPr>
        <w:pStyle w:val="Heading3"/>
        <w:bidi/>
      </w:pPr>
      <w:r>
        <w:rPr>
          <w:rtl/>
        </w:rPr>
        <w:t xml:space="preserve">ضعف‌ها و شکاف‌ها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دستگاهِ ارجاعِ ناتمام و شماره‌گذاریِ غیرترتیبی (اهمیت: متوسط).</w:t>
      </w:r>
      <w:r>
        <w:rPr>
          <w:rtl/>
        </w:rPr>
        <w:t xml:space="preserve"> </w:t>
      </w:r>
      <w:r>
        <w:rPr>
          <w:rtl/>
        </w:rPr>
        <w:t xml:space="preserve">ارجاع‌ها هنوز به شکلِ</w:t>
      </w:r>
      <w:r>
        <w:rPr>
          <w:rtl/>
        </w:rPr>
        <w:t xml:space="preserve"> </w:t>
      </w:r>
      <w:r>
        <w:rPr>
          <w:rtl/>
        </w:rPr>
        <w:t xml:space="preserve">انکرِ خامِ پانداک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\[[n](#_ENREF_n)\]</w:t>
      </w:r>
      <w:r>
        <w:rPr>
          <w:rtl/>
        </w:rPr>
        <w:t xml:space="preserve">اند و در §۱-۲ ناگهان به منبع [۷۸] پرش می‌شود، حال آنکه</w:t>
      </w:r>
      <w:r>
        <w:rPr>
          <w:rtl/>
        </w:rPr>
        <w:t xml:space="preserve"> </w:t>
      </w:r>
      <w:r>
        <w:rPr>
          <w:rtl/>
        </w:rPr>
        <w:t xml:space="preserve">منابعِ میانی هنوز معرفی نشده‌اند. یادداشت‌های داخلیِ خودِ فصل نیز اذعان دارند که یکسان‌سازیِ</w:t>
      </w:r>
      <w:r>
        <w:rPr>
          <w:rtl/>
        </w:rPr>
        <w:t xml:space="preserve"> </w:t>
      </w:r>
      <w:r>
        <w:rPr>
          <w:rtl/>
        </w:rPr>
        <w:t xml:space="preserve">سراسری (A7/A8) به بعد موکول شده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پیش از تحویل، همهٔ ارجاع‌ها به قالبِ نهایی</w:t>
      </w:r>
      <w:r>
        <w:rPr>
          <w:rtl/>
        </w:rPr>
        <w:t xml:space="preserve"> </w:t>
      </w:r>
      <w:r>
        <w:rPr>
          <w:rtl/>
        </w:rPr>
        <w:t xml:space="preserve">(مثلاً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[۴]</w:t>
      </w:r>
      <w:r>
        <w:rPr>
          <w:rtl/>
        </w:rPr>
        <w:t xml:space="preserve">) بازنویسی و به‌ترتیبِ ظهور شماره‌گذاری شوند؛ یادداشت‌های ویرایشیِ HTML حذف گردند.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ادعای کمّیِ بی‌ارجاع (اهمیت: کم).</w:t>
      </w:r>
      <w:r>
        <w:rPr>
          <w:rtl/>
        </w:rPr>
        <w:t xml:space="preserve"> </w:t>
      </w:r>
      <w:r>
        <w:rPr>
          <w:rtl/>
        </w:rPr>
        <w:t xml:space="preserve">جملهٔ «استحکام مکانیکیِ نانولوله‌های کربنی تقریباً ۱۰۰</w:t>
      </w:r>
      <w:r>
        <w:rPr>
          <w:rtl/>
        </w:rPr>
        <w:t xml:space="preserve"> </w:t>
      </w:r>
      <w:r>
        <w:rPr>
          <w:rtl/>
        </w:rPr>
        <w:t xml:space="preserve">برابرِ فولاد» بدونِ منبعِ مشخص آمده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یک ارجاعِ مشخص به این عدد افزوده یا عبارت</w:t>
      </w:r>
      <w:r>
        <w:rPr>
          <w:rtl/>
        </w:rPr>
        <w:t xml:space="preserve"> </w:t>
      </w:r>
      <w:r>
        <w:rPr>
          <w:rtl/>
        </w:rPr>
        <w:t xml:space="preserve">کیفی شود.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هم‌پوشانیِ §۱-۳ و §۱-۴ (اهمیت: کم).</w:t>
      </w:r>
      <w:r>
        <w:rPr>
          <w:rtl/>
        </w:rPr>
        <w:t xml:space="preserve"> </w:t>
      </w:r>
      <w:r>
        <w:rPr>
          <w:rtl/>
        </w:rPr>
        <w:t xml:space="preserve">«تعریف موضوع» (یک بند) تقریباً همان محتوای «اهداف» را</w:t>
      </w:r>
      <w:r>
        <w:rPr>
          <w:rtl/>
        </w:rPr>
        <w:t xml:space="preserve"> </w:t>
      </w:r>
      <w:r>
        <w:rPr>
          <w:rtl/>
        </w:rPr>
        <w:t xml:space="preserve">تکرار می‌کند.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§۱-۳ به بیانِ دقیق‌ترِ دامنه (هندسه، بارگذاری، خروجی‌ها) اختصاص یابد و</w:t>
      </w:r>
      <w:r>
        <w:rPr>
          <w:rtl/>
        </w:rPr>
        <w:t xml:space="preserve"> </w:t>
      </w:r>
      <w:r>
        <w:rPr>
          <w:rtl/>
        </w:rPr>
        <w:t xml:space="preserve">هدف‌ها فقط در §۱-۴ بماند.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نبودِ بیانِ صریحِ نوآوری در فصل یک (اهمیت: کم).</w:t>
      </w:r>
      <w:r>
        <w:rPr>
          <w:rtl/>
        </w:rPr>
        <w:t xml:space="preserve"> </w:t>
      </w:r>
      <w:r>
        <w:rPr>
          <w:rtl/>
        </w:rPr>
        <w:t xml:space="preserve">نوآوری فقط در شکافِ فصل دوم آمده است.</w:t>
      </w:r>
      <w:r>
        <w:rPr>
          <w:rtl/>
        </w:rPr>
        <w:t xml:space="preserve"> </w:t>
      </w:r>
      <w:r>
        <w:rPr>
          <w:rtl/>
        </w:rPr>
        <w:t xml:space="preserve">داور انتظار دارد فهرستِ کوتاهِ «مشارکت‌های پژوهش» در همین فصلِ مقدماتی نیز دیده شود.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یک بندِ سه‌چهار سطری با عنوانِ نوآوری‌ها (ماتریسِ کاملِ ۲۵حالته، مقایسهٔ نظریه‌ها، هندسهٔ استوانهٔ</w:t>
      </w:r>
      <w:r>
        <w:rPr>
          <w:rtl/>
        </w:rPr>
        <w:t xml:space="preserve"> </w:t>
      </w:r>
      <w:r>
        <w:rPr>
          <w:rtl/>
        </w:rPr>
        <w:t xml:space="preserve">جدارضخیم) افزوده شود.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محدودیتِ پنجم به‌شکلِ کارِ ناتمام خوانده می‌شود (اهمیت: متوسط).</w:t>
      </w:r>
      <w:r>
        <w:rPr>
          <w:rtl/>
        </w:rPr>
        <w:t xml:space="preserve"> </w:t>
      </w:r>
      <w:r>
        <w:rPr>
          <w:rtl/>
        </w:rPr>
        <w:t xml:space="preserve">بندِ ۵ در §۱-۷ می‌گوید</w:t>
      </w:r>
      <w:r>
        <w:rPr>
          <w:rtl/>
        </w:rPr>
        <w:t xml:space="preserve"> </w:t>
      </w:r>
      <w:r>
        <w:rPr>
          <w:rtl/>
        </w:rPr>
        <w:t xml:space="preserve">الگوهای تخلخل «همان‌هایی‌اند که در حل‌گر پیاده شده‌اند و به‌روزرسانی‌شان به آینده موکول است».</w:t>
      </w:r>
      <w:r>
        <w:rPr>
          <w:rtl/>
        </w:rPr>
        <w:t xml:space="preserve"> </w:t>
      </w:r>
      <w:r>
        <w:rPr>
          <w:rtl/>
        </w:rPr>
        <w:t xml:space="preserve">این جمله برای داور به‌جای «محدودیتِ روش‌شناختی»، بوی «بلوکِ فرمول‌بندیِ نهایی‌نشده» می‌دهد.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بازنویسی شود تا محدودیت را به‌صورتِ یک فرضِ مدل‌سازیِ آگاهانه (مثلاً «الگوهای تخلخلِ</w:t>
      </w:r>
      <w:r>
        <w:rPr>
          <w:rtl/>
        </w:rPr>
        <w:t xml:space="preserve"> </w:t>
      </w:r>
      <w:r>
        <w:rPr>
          <w:rtl/>
        </w:rPr>
        <w:t xml:space="preserve">منتخب بر پایهٔ مدلِ سلول‌بازِ استاندارد») بیان کند، نه به‌صورتِ کارِ عقب‌افتاده.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فصل-دوم-پیشینه-پژوهش"/>
    <w:p>
      <w:pPr>
        <w:pStyle w:val="Heading2"/>
        <w:bidi/>
      </w:pPr>
      <w:r>
        <w:rPr>
          <w:rtl/>
        </w:rPr>
        <w:t xml:space="preserve">فصل دوم — پیشینهٔ پژوهش</w:t>
      </w:r>
    </w:p>
    <w:bookmarkStart w:id="12" w:name="نقاط-قوت-1"/>
    <w:p>
      <w:pPr>
        <w:pStyle w:val="Heading3"/>
        <w:bidi/>
      </w:pPr>
      <w:r>
        <w:rPr>
          <w:rtl/>
        </w:rPr>
        <w:t xml:space="preserve">نقاط قوت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پوششِ گسترده (نزدیک به ۷۰ مرجع) و دسته‌بندیِ منطقی در پنج محور.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بخش پایانیِ §۲-۷ (جمع‌بندی و شکاف) بسیار خوب است: سه شاخهٔ پژوهشی را نام می‌برد، تلاقیِ آن‌ها را</w:t>
      </w:r>
      <w:r>
        <w:rPr>
          <w:rtl/>
        </w:rPr>
        <w:t xml:space="preserve"> </w:t>
      </w:r>
      <w:r>
        <w:rPr>
          <w:rtl/>
        </w:rPr>
        <w:t xml:space="preserve">به‌عنوان شکاف مشخص می‌کند و پژوهش را دقیق موضع‌یابی می‌کند. این بهترین بخشِ فصل است.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شکل ۲-۱ (درختِ رده‌بندیِ نظریه‌ها) ایدهٔ خوبی برای جهت‌دهیِ خواننده است.</w:t>
      </w:r>
    </w:p>
    <w:bookmarkEnd w:id="12"/>
    <w:bookmarkStart w:id="13" w:name="ضعفها-و-شکافها-1"/>
    <w:p>
      <w:pPr>
        <w:pStyle w:val="Heading3"/>
        <w:bidi/>
      </w:pPr>
      <w:r>
        <w:rPr>
          <w:rtl/>
        </w:rPr>
        <w:t xml:space="preserve">ضعف‌ها و شکاف‌ها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مرورِ فهرست‌وار به‌جای مرورِ تحلیلی (اهمیت: متوسط).</w:t>
      </w:r>
      <w:r>
        <w:rPr>
          <w:rtl/>
        </w:rPr>
        <w:t xml:space="preserve"> </w:t>
      </w:r>
      <w:r>
        <w:rPr>
          <w:rtl/>
        </w:rPr>
        <w:t xml:space="preserve">§۲-۳ تا §۲-۵ عمدتاً زنجیره‌ای از</w:t>
      </w:r>
      <w:r>
        <w:rPr>
          <w:rtl/>
        </w:rPr>
        <w:t xml:space="preserve"> </w:t>
      </w:r>
      <w:r>
        <w:rPr>
          <w:rtl/>
        </w:rPr>
        <w:t xml:space="preserve">جمله‌های هم‌ساختارند: «فلانی و همکاران (سال) فلان کار را کردند [n].» هم‌سنجی، نقد یا خوشه‌بندیِ</w:t>
      </w:r>
      <w:r>
        <w:rPr>
          <w:rtl/>
        </w:rPr>
        <w:t xml:space="preserve"> </w:t>
      </w:r>
      <w:r>
        <w:rPr>
          <w:rtl/>
        </w:rPr>
        <w:t xml:space="preserve">یافته‌ها اندک است. داورِ سخت‌گیر این را «کاتالوگ» می‌نامد نه «مرورِ انتقادی».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در پایانِ</w:t>
      </w:r>
      <w:r>
        <w:rPr>
          <w:rtl/>
        </w:rPr>
        <w:t xml:space="preserve"> </w:t>
      </w:r>
      <w:r>
        <w:rPr>
          <w:rtl/>
        </w:rPr>
        <w:t xml:space="preserve">هر محور یک بندِ ترکیبی افزوده شود که بگوید این آثار در چه چیز هم‌داستان‌اند، کجا واگرا می‌شوند و</w:t>
      </w:r>
      <w:r>
        <w:rPr>
          <w:rtl/>
        </w:rPr>
        <w:t xml:space="preserve"> </w:t>
      </w:r>
      <w:r>
        <w:rPr>
          <w:rtl/>
        </w:rPr>
        <w:t xml:space="preserve">کدام خلأ می‌ماند؛ دستِ‌کم چند کارِ کلیدی به‌صورتِ مقایسه‌ای (نه پیاپی) کنار هم گذاشته شوند.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ابهام در هویتِ مرجعِ کلیدیِ [۶] (اهمیت: متوسط).</w:t>
      </w:r>
      <w:r>
        <w:rPr>
          <w:rtl/>
        </w:rPr>
        <w:t xml:space="preserve"> </w:t>
      </w:r>
      <w:r>
        <w:rPr>
          <w:rtl/>
        </w:rPr>
        <w:t xml:space="preserve">در §۲-۲ منبع [۶] برای «معرفیِ نظریه‌های</w:t>
      </w:r>
      <w:r>
        <w:rPr>
          <w:rtl/>
        </w:rPr>
        <w:t xml:space="preserve"> </w:t>
      </w:r>
      <w:r>
        <w:rPr>
          <w:rtl/>
        </w:rPr>
        <w:t xml:space="preserve">ممزوج» و تئوریِ برشیِ پوسته استناد شده، اما در §۲-۷ همان [۶] «نزدیک‌ترین کارِ پیشینِ مشابه —</w:t>
      </w:r>
      <w:r>
        <w:rPr>
          <w:rtl/>
        </w:rPr>
        <w:t xml:space="preserve"> </w:t>
      </w:r>
      <w:r>
        <w:rPr>
          <w:rtl/>
        </w:rPr>
        <w:t xml:space="preserve">مخروط ناقص» معرفی می‌شود و در فصل‌های سوم و چهارم بارها به‌عنوان مرجعِ بذرِ روش (DQM، شرایط مرزی،</w:t>
      </w:r>
      <w:r>
        <w:rPr>
          <w:rtl/>
        </w:rPr>
        <w:t xml:space="preserve"> </w:t>
      </w:r>
      <w:r>
        <w:rPr>
          <w:rtl/>
        </w:rPr>
        <w:t xml:space="preserve">«[۶]») به آن ارجاع می‌شود. این دوگانگی داور را سردرگم می‌کند.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هویتِ [۶] یک‌بار روشن</w:t>
      </w:r>
      <w:r>
        <w:rPr>
          <w:rtl/>
        </w:rPr>
        <w:t xml:space="preserve"> </w:t>
      </w:r>
      <w:r>
        <w:rPr>
          <w:rtl/>
        </w:rPr>
        <w:t xml:space="preserve">شود؛ اگر [۶] همان مقالهٔ مخروطِ بذر است، استنادهای نظریهٔ عمومیِ §۲-۲ به منبعِ درست منتقل شوند.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دو ورودیِ تقریباً تکراری (اهمیت: کم).</w:t>
      </w:r>
      <w:r>
        <w:rPr>
          <w:rtl/>
        </w:rPr>
        <w:t xml:space="preserve"> </w:t>
      </w:r>
      <w:r>
        <w:rPr>
          <w:rtl/>
        </w:rPr>
        <w:t xml:space="preserve">«باهتویی و اسلامی (۲۰۰۷)» در §۲-۶ دو بار پشت‌سرهم با</w:t>
      </w:r>
      <w:r>
        <w:rPr>
          <w:rtl/>
        </w:rPr>
        <w:t xml:space="preserve"> </w:t>
      </w:r>
      <w:r>
        <w:rPr>
          <w:rtl/>
        </w:rPr>
        <w:t xml:space="preserve">توصیفِ تقریباً یکسان آمده ([۶۴] و [۶۵]).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تفاوتِ دو کار صریح شود یا در یک جمله ادغام گردند.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ادعای بی‌پشتوانه دربارهٔ «حجم محاسباتیِ کمِ» نظریهٔ لرد–شولمن (اهمیت: کم).</w:t>
      </w:r>
      <w:r>
        <w:rPr>
          <w:rtl/>
        </w:rPr>
        <w:t xml:space="preserve"> </w:t>
      </w:r>
      <w:r>
        <w:rPr>
          <w:rtl/>
        </w:rPr>
        <w:t xml:space="preserve">پایانِ §۲-۲</w:t>
      </w:r>
      <w:r>
        <w:rPr>
          <w:rtl/>
        </w:rPr>
        <w:t xml:space="preserve"> </w:t>
      </w:r>
      <w:r>
        <w:rPr>
          <w:rtl/>
        </w:rPr>
        <w:t xml:space="preserve">«حجم محاسباتی کم» را به‌عنوان ویژگیِ ذاتیِ نظریهٔ LS بیان می‌کند؛ هزینهٔ محاسبه تابعِ روشِ حل است</w:t>
      </w:r>
      <w:r>
        <w:rPr>
          <w:rtl/>
        </w:rPr>
        <w:t xml:space="preserve"> </w:t>
      </w:r>
      <w:r>
        <w:rPr>
          <w:rtl/>
        </w:rPr>
        <w:t xml:space="preserve">نه خودِ نظریه.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عبارت به «سادگیِ صورت‌بندی (تنها یک زمان تخفیف)» تصحیح شود.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گذارهای ضعیف میان §۲-۲ و بخش‌های تاریخی (اهمیت: کم).</w:t>
      </w:r>
      <w:r>
        <w:rPr>
          <w:rtl/>
        </w:rPr>
        <w:t xml:space="preserve"> </w:t>
      </w:r>
      <w:r>
        <w:rPr>
          <w:rtl/>
        </w:rPr>
        <w:t xml:space="preserve">پرش از مرورِ نظری (پوسته/الاستیسیته)</w:t>
      </w:r>
      <w:r>
        <w:rPr>
          <w:rtl/>
        </w:rPr>
        <w:t xml:space="preserve"> </w:t>
      </w:r>
      <w:r>
        <w:rPr>
          <w:rtl/>
        </w:rPr>
        <w:t xml:space="preserve">به فهرستِ زمانیِ آثار ناگهانی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یک جملهٔ پُل میانِ چارچوب‌های نظری و مرورِ کاربردی افزوده شود.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فصل-سوم-روششناسی-و-فرمولبندی"/>
    <w:p>
      <w:pPr>
        <w:pStyle w:val="Heading2"/>
        <w:bidi/>
      </w:pPr>
      <w:r>
        <w:rPr>
          <w:rtl/>
        </w:rPr>
        <w:t xml:space="preserve">فصل سوم — روش‌شناسی و فرمول‌بندی</w:t>
      </w:r>
    </w:p>
    <w:bookmarkStart w:id="15" w:name="نقاط-قوت-2"/>
    <w:p>
      <w:pPr>
        <w:pStyle w:val="Heading3"/>
        <w:bidi/>
      </w:pPr>
      <w:r>
        <w:rPr>
          <w:rtl/>
        </w:rPr>
        <w:t xml:space="preserve">نقاط قوت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کامل‌ترین و منسجم‌ترین فصلِ فرمول‌بندی: از همگن‌سازی (هالپین–تسای + قانون مخلوط‌ها + سلول‌باز) تا</w:t>
      </w:r>
      <w:r>
        <w:rPr>
          <w:rtl/>
        </w:rPr>
        <w:t xml:space="preserve"> </w:t>
      </w:r>
      <w:r>
        <w:rPr>
          <w:rtl/>
        </w:rPr>
        <w:t xml:space="preserve">روابطِ کرنش–جابجایی، تنش–کرنش، دو معادلهٔ حرکت، معادلهٔ انرژیِ LS، مجموعهٔ کاملِ شرایطِ مرزی/اولیه/</w:t>
      </w:r>
      <w:r>
        <w:rPr>
          <w:rtl/>
        </w:rPr>
        <w:t xml:space="preserve"> </w:t>
      </w:r>
      <w:r>
        <w:rPr>
          <w:rtl/>
        </w:rPr>
        <w:t xml:space="preserve">سازگاری، گسسته‌سازیِ DQM و انتگرال‌گیریِ نیومارک — همه با شماره‌گذاریِ معادلات.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گزینشِ نیومارک (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tl/>
        </w:rPr>
        <w:t xml:space="preserve">) و توجیهِ آن (بدونِ‌قید پایدار، بدونِ میرایی عددی) درست</w:t>
      </w:r>
      <w:r>
        <w:rPr>
          <w:rtl/>
        </w:rPr>
        <w:t xml:space="preserve"> </w:t>
      </w:r>
      <w:r>
        <w:rPr>
          <w:rtl/>
        </w:rPr>
        <w:t xml:space="preserve">و مناسبِ مسئلهٔ موجیِ هذلولوی است.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جمع‌بندیِ §۳-۶ گام‌های فرمول‌بندی را تمیز خلاصه می‌کند.</w:t>
      </w:r>
    </w:p>
    <w:bookmarkEnd w:id="15"/>
    <w:bookmarkStart w:id="16" w:name="ضعفها-و-شکافها-2"/>
    <w:p>
      <w:pPr>
        <w:pStyle w:val="Heading3"/>
        <w:bidi/>
      </w:pPr>
      <w:r>
        <w:rPr>
          <w:rtl/>
        </w:rPr>
        <w:t xml:space="preserve">ضعف‌ها و شکاف‌ها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نبودِ جدولِ خواصِ مادیِ سازنده‌ها (اهمیت: بالا).</w:t>
      </w:r>
      <w:r>
        <w:rPr>
          <w:rtl/>
        </w:rPr>
        <w:t xml:space="preserve"> </w:t>
      </w:r>
      <w:r>
        <w:rPr>
          <w:rtl/>
        </w:rPr>
        <w:t xml:space="preserve">سراسرِ فصل به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E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ρ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ρ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k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 </m:t>
        </m:r>
        <m:r>
          <m:t>ν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,</m:t>
        </m:r>
        <m:r>
          <m:t> </m:t>
        </m:r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ارجاع می‌دهد، اما هیچ جدولی مقادیرِ عددیِ خواصِ</w:t>
      </w:r>
      <w:r>
        <w:rPr>
          <w:rtl/>
        </w:rPr>
        <w:t xml:space="preserve"> </w:t>
      </w:r>
      <w:r>
        <w:rPr>
          <w:rtl/>
        </w:rPr>
        <w:t xml:space="preserve">فلز/زمینه و پلاکتِ گرافن را نمی‌دهد. بدون این جدول، خواننده نمی‌تواند نتایج را بازتولید یا حتی</w:t>
      </w:r>
      <w:r>
        <w:rPr>
          <w:rtl/>
        </w:rPr>
        <w:t xml:space="preserve"> </w:t>
      </w:r>
      <w:r>
        <w:rPr>
          <w:rtl/>
        </w:rPr>
        <w:t xml:space="preserve">مقدارِ همگن‌شدهٔ مرجع (</w:t>
      </w:r>
      <m:oMath>
        <m:r>
          <m:t>E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.</m:t>
        </m:r>
        <m:r>
          <m:t>43</m:t>
        </m:r>
      </m:oMath>
      <w:r>
        <w:rPr>
          <w:rtl/>
        </w:rPr>
        <w:t xml:space="preserve"> </w:t>
      </w:r>
      <w:r>
        <w:rPr>
          <w:rtl/>
        </w:rPr>
        <w:t xml:space="preserve">گیگاپاسکال در فصل چهار) را وارسی کند.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یک جدولِ خواصِ</w:t>
      </w:r>
      <w:r>
        <w:rPr>
          <w:rtl/>
        </w:rPr>
        <w:t xml:space="preserve"> </w:t>
      </w:r>
      <w:r>
        <w:rPr>
          <w:rtl/>
        </w:rPr>
        <w:t xml:space="preserve">سازنده‌ها (ماتریس و GPL) با واحد و منبع در §۳-۲ افزوده شود؛ این نخستین چیزی است که داور می‌پرسد.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مقادیرِ عددیِ مؤلفه‌های مدلِ رسانایی گزارش نشده‌اند (اهمیت: متوسط).</w:t>
      </w:r>
      <w:r>
        <w:rPr>
          <w:rtl/>
        </w:rPr>
        <w:t xml:space="preserve"> </w:t>
      </w:r>
      <w:r>
        <w:rPr>
          <w:rtl/>
        </w:rPr>
        <w:t xml:space="preserve">معادلهٔ ۳-۱۴ مؤلفه‌های</w:t>
      </w:r>
      <w:r>
        <w:rPr>
          <w:rtl/>
        </w:rPr>
        <w:t xml:space="preserve"> </w:t>
      </w:r>
      <m:oMath>
        <m:r>
          <m:t>p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 به‌ویژه توانِ اتصالِ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(«مؤلفهٔ اتصال») را معرفی می‌کند، اما مقدارِ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و آستانهٔ پرکولاسیون داده نمی‌شود؛ حال آنکه در حل‌گر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claude_R8.m</w:t>
      </w:r>
      <w:r>
        <w:rPr>
          <w:rtl/>
        </w:rPr>
        <w:t xml:space="preserve"> </w:t>
      </w:r>
      <w:r>
        <w:rPr>
          <w:rtl/>
        </w:rPr>
        <w:t xml:space="preserve">صریحاً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gamma_conn = 0.5</w:t>
      </w:r>
      <w:r>
        <w:rPr>
          <w:rtl/>
        </w:rPr>
        <w:t xml:space="preserve"> </w:t>
      </w:r>
      <w:r>
        <w:rPr>
          <w:rtl/>
        </w:rPr>
        <w:t xml:space="preserve">تنظیم شده است. فصل چهارم به «ماهیتِ پرکولاسیونی» و «آستانهٔ ~۱٪» تکیه می‌کند، اما این عدد در</w:t>
      </w:r>
      <w:r>
        <w:rPr>
          <w:rtl/>
        </w:rPr>
        <w:t xml:space="preserve"> </w:t>
      </w:r>
      <w:r>
        <w:rPr>
          <w:rtl/>
        </w:rPr>
        <w:t xml:space="preserve">فرمول‌بندی نمی‌آید.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مقدارِ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، تعریفِ آستانهٔ پرکولاسیون و مقادیرِ</w:t>
      </w:r>
      <w:r>
        <w:rPr>
          <w:rtl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در §۳-۲-۱ صریح شوند.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یادداشت‌های ویرایشیِ داخلی در متن باقی مانده‌اند (اهمیت: متوسط).</w:t>
      </w:r>
      <w:r>
        <w:rPr>
          <w:rtl/>
        </w:rPr>
        <w:t xml:space="preserve"> </w:t>
      </w:r>
      <w:r>
        <w:rPr>
          <w:rtl/>
        </w:rPr>
        <w:t xml:space="preserve">کامنت‌های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A7 PENDING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A8 PENDING</w:t>
      </w:r>
      <w:r>
        <w:rPr>
          <w:rtl/>
        </w:rPr>
        <w:t xml:space="preserve"> </w:t>
      </w:r>
      <w:r>
        <w:rPr>
          <w:rtl/>
        </w:rPr>
        <w:t xml:space="preserve">(تخلخل «هنوز با فایلِ MZ مصالحه نشده»، تغییرِ نمادِ L/h «به تعویق افتاده») در بدنهٔ</w:t>
      </w:r>
      <w:r>
        <w:rPr>
          <w:rtl/>
        </w:rPr>
        <w:t xml:space="preserve"> </w:t>
      </w:r>
      <w:r>
        <w:rPr>
          <w:rtl/>
        </w:rPr>
        <w:t xml:space="preserve">فصل حاضرند. اگر در نسخهٔ تحویلی بمانند، برای داور آشکار می‌کنند که فصل نهایی نشده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همهٔ کامنت‌های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پیش از تحویل حذف و کارِ معلق (نماد، تخلخل) بسته شود.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وابستگیِ میان‌فصلیِ نمادها (اهمیت: کم).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rPr>
          <w:rtl/>
        </w:rPr>
        <w:t xml:space="preserve"> </w:t>
      </w:r>
      <w:r>
        <w:rPr>
          <w:rtl/>
        </w:rPr>
        <w:t xml:space="preserve">در §۳-۱ به‌کار</w:t>
      </w:r>
      <w:r>
        <w:rPr>
          <w:rtl/>
        </w:rPr>
        <w:t xml:space="preserve"> </w:t>
      </w:r>
      <w:r>
        <w:rPr>
          <w:rtl/>
        </w:rPr>
        <w:t xml:space="preserve">می‌رود اما</w:t>
      </w:r>
      <w:r>
        <w:rPr>
          <w:rtl/>
        </w:rP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(نفوذپذیریِ حرارتیِ همگن‌شده) تا فصل چهارم تعریف نمی‌شود.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تعریفِ</w:t>
      </w:r>
      <w:r>
        <w:rPr>
          <w:rtl/>
        </w:rPr>
        <w:t xml:space="preserve"> </w:t>
      </w:r>
      <w:r>
        <w:rPr>
          <w:rtl/>
        </w:rPr>
        <w:t xml:space="preserve">کوتاهِ</w:t>
      </w:r>
      <w:r>
        <w:rPr>
          <w:rtl/>
        </w:rP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ρ</m:t>
            </m:r>
          </m:e>
        </m:acc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در همان §۳-۱ افزوده شود.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شکل‌های شماتیک هنوز نگه‌دار (placeholder) هستند (اهمیت: کم).</w:t>
      </w:r>
      <w:r>
        <w:rPr>
          <w:rtl/>
        </w:rPr>
        <w:t xml:space="preserve"> </w:t>
      </w:r>
      <w:r>
        <w:rPr>
          <w:rtl/>
        </w:rPr>
        <w:t xml:space="preserve">شکل‌های ۳-۱ تا ۳-۵ به‌صورتِ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[شکل: …]</w:t>
      </w:r>
      <w:r>
        <w:rPr>
          <w:rtl/>
        </w:rPr>
        <w:t xml:space="preserve"> </w:t>
      </w:r>
      <w:r>
        <w:rPr>
          <w:rtl/>
        </w:rPr>
        <w:t xml:space="preserve">نشانه‌گذاری شده‌اند.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شکل‌های واقعیِ هندسه، الگوهای گرافن/تخلخل، نقاطِ CGL و</w:t>
      </w:r>
      <w:r>
        <w:rPr>
          <w:rtl/>
        </w:rPr>
        <w:t xml:space="preserve"> </w:t>
      </w:r>
      <w:r>
        <w:rPr>
          <w:rtl/>
        </w:rPr>
        <w:t xml:space="preserve">فلوچارت تولید و جای‌گذاری شوند.</w:t>
      </w:r>
    </w:p>
    <w:p>
      <w:pPr>
        <w:pStyle w:val="BlockText"/>
        <w:bidi/>
      </w:pPr>
      <w:r>
        <w:rPr>
          <w:rtl/>
        </w:rPr>
        <w:t xml:space="preserve">توجه: بلوکِ معادلاتِ تخلخل (۳-۱۸ تا ۳-۴۵) طبقِ رهنمودِ نویسنده «همان فرم‌های حل‌گر/مرجعِ MZ» است</w:t>
      </w:r>
      <w:r>
        <w:rPr>
          <w:rtl/>
        </w:rPr>
        <w:t xml:space="preserve"> </w:t>
      </w:r>
      <w:r>
        <w:rPr>
          <w:rtl/>
        </w:rPr>
        <w:t xml:space="preserve">و در این داوری دست‌نخورده تلقی شده؛ هیچ ایرادِ فرمولِ تخلخل در اینجا مطرح نشده است.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فصل-چهارم-یافتههای-پژوهش"/>
    <w:p>
      <w:pPr>
        <w:pStyle w:val="Heading2"/>
        <w:bidi/>
      </w:pPr>
      <w:r>
        <w:rPr>
          <w:rtl/>
        </w:rPr>
        <w:t xml:space="preserve">فصل چهارم — یافته‌های پژوهش</w:t>
      </w:r>
    </w:p>
    <w:bookmarkStart w:id="18" w:name="نقاط-قوت-3"/>
    <w:p>
      <w:pPr>
        <w:pStyle w:val="Heading3"/>
        <w:bidi/>
      </w:pPr>
      <w:r>
        <w:rPr>
          <w:rtl/>
        </w:rPr>
        <w:t xml:space="preserve">نقاط قوت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غنی‌ترین و بالغ‌ترین فصل: مطالعاتِ پارامتریِ گسترده، جداسازیِ صریحِ همگرایی از صحت‌سنجی، جدولِ</w:t>
      </w:r>
      <w:r>
        <w:rPr>
          <w:rtl/>
        </w:rPr>
        <w:t xml:space="preserve"> </w:t>
      </w:r>
      <w:r>
        <w:rPr>
          <w:rtl/>
        </w:rPr>
        <w:t xml:space="preserve">کمیت‌های بی‌بعد، تفسیرِ فیزیکیِ قویِ موجِ صوتِ دوم، ماتریسِ کاملِ ۲۵حالته، و سه مطالعهٔ توسعه‌ایِ</w:t>
      </w:r>
      <w:r>
        <w:rPr>
          <w:rtl/>
        </w:rPr>
        <w:t xml:space="preserve"> </w:t>
      </w:r>
      <w:r>
        <w:rPr>
          <w:rtl/>
        </w:rPr>
        <w:t xml:space="preserve">روش‌شناختی (انتگرال‌گیرها، گسسته‌سازیِ مکانی، نظریه‌ها).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کمیت‌های بی‌بعد (Fo،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) خودسازگارند؛ راستی‌آزماییِ دستی نشان می‌دهد</w:t>
      </w:r>
      <w:r>
        <w:rPr>
          <w:rtl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≈</m:t>
        </m:r>
        <m:r>
          <m:t>2787</m:t>
        </m:r>
      </m:oMath>
      <w:r>
        <w:rPr>
          <w:rtl/>
        </w:rPr>
        <w:t xml:space="preserve"> </w:t>
      </w:r>
      <w:r>
        <w:rPr>
          <w:rtl/>
        </w:rPr>
        <w:t xml:space="preserve">ثانیه،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  <m:r>
          <m:rPr>
            <m:sty m:val="p"/>
          </m:rPr>
          <m:t>≈</m:t>
        </m:r>
        <m:r>
          <m:t>0.39</m:t>
        </m:r>
      </m:oMath>
      <w:r>
        <w:rPr>
          <w:rtl/>
        </w:rPr>
        <w:t xml:space="preserve"> </w:t>
      </w:r>
      <w:r>
        <w:rPr>
          <w:rtl/>
        </w:rPr>
        <w:t xml:space="preserve">و زمانِ عبورِ موج همگی سازگارند.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تفسیرِ نوکِ دماییِ ξ≈۰٫۷۵ به‌عنوان ردِّ موجِ بازتابیده، و توضیحِ گیبس، از نقاطِ درخشانِ فصل است.</w:t>
      </w:r>
    </w:p>
    <w:bookmarkEnd w:id="18"/>
    <w:bookmarkStart w:id="19" w:name="ضعفها-و-شکافها-3"/>
    <w:p>
      <w:pPr>
        <w:pStyle w:val="Heading3"/>
        <w:bidi/>
      </w:pPr>
      <w:r>
        <w:rPr>
          <w:rtl/>
        </w:rPr>
        <w:t xml:space="preserve">ضعف‌ها و شکاف‌ها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همهٔ شکل‌ها نگه‌دار (placeholder)اند (اهمیت: بالا).</w:t>
      </w:r>
      <w:r>
        <w:rPr>
          <w:rtl/>
        </w:rPr>
        <w:t xml:space="preserve"> </w:t>
      </w:r>
      <w:r>
        <w:rPr>
          <w:rtl/>
        </w:rPr>
        <w:t xml:space="preserve">حدود ۳۰ شکل به‌صورتِ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[شکل: …]</w:t>
      </w:r>
      <w:r>
        <w:rPr>
          <w:rtl/>
        </w:rPr>
        <w:t xml:space="preserve">اند و</w:t>
      </w:r>
      <w:r>
        <w:rPr>
          <w:rtl/>
        </w:rPr>
        <w:t xml:space="preserve"> </w:t>
      </w:r>
      <w:r>
        <w:rPr>
          <w:rtl/>
        </w:rPr>
        <w:t xml:space="preserve">کلِ استدلال بر شکل‌هایی بنا شده که در متن جاسازی نشده‌اند. داور بدونِ شکل‌ها نمی‌تواند ادعاها</w:t>
      </w:r>
      <w:r>
        <w:rPr>
          <w:rtl/>
        </w:rPr>
        <w:t xml:space="preserve"> </w:t>
      </w:r>
      <w:r>
        <w:rPr>
          <w:rtl/>
        </w:rPr>
        <w:t xml:space="preserve">(پروفیل‌ها، ماتریس ۲۵حالته، پیشانیِ موج) را وارسی کند.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همهٔ شکل‌های نهایی تولید و</w:t>
      </w:r>
      <w:r>
        <w:rPr>
          <w:rtl/>
        </w:rPr>
        <w:t xml:space="preserve"> </w:t>
      </w:r>
      <w:r>
        <w:rPr>
          <w:rtl/>
        </w:rPr>
        <w:t xml:space="preserve">جای‌گذاری شوند؛ این مسدودکنندهٔ اصلیِ دفاع است.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صحت‌سنجیِ هستهٔ نظری فقط «کیفی» است (اهمیت: متوسط).</w:t>
      </w:r>
      <w:r>
        <w:rPr>
          <w:rtl/>
        </w:rPr>
        <w:t xml:space="preserve"> </w:t>
      </w:r>
      <w:r>
        <w:rPr>
          <w:rtl/>
        </w:rPr>
        <w:t xml:space="preserve">آزمونِ پنجم (رفتارِ موجِ LS در برابر</w:t>
      </w:r>
      <w:r>
        <w:rPr>
          <w:rtl/>
        </w:rPr>
        <w:t xml:space="preserve"> </w:t>
      </w:r>
      <w:r>
        <w:rPr>
          <w:rtl/>
        </w:rPr>
        <w:t xml:space="preserve">باقری و اسلامی [۷]) «به‌طور کیفی» گزارش شده و تنها دو آزمون از پنج آزمون شکلِ مقایسه‌ای دارند.</w:t>
      </w:r>
      <w:r>
        <w:rPr>
          <w:rtl/>
        </w:rPr>
        <w:t xml:space="preserve"> </w:t>
      </w:r>
      <w:r>
        <w:rPr>
          <w:rtl/>
        </w:rPr>
        <w:t xml:space="preserve">قوی‌ترین ادعای پایان‌نامه (موجِ صوتِ دوم) با ضعیف‌ترین نوعِ صحت‌سنجی (کیفی) پشتیبانی می‌شود.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دستِ‌کم یک سنجهٔ کمّی (خطای سرعتِ موج یا زمانِ بازتاب) برای آزمونِ ۵ افزوده و نمودارِ</w:t>
      </w:r>
      <w:r>
        <w:rPr>
          <w:rtl/>
        </w:rPr>
        <w:t xml:space="preserve"> </w:t>
      </w:r>
      <w:r>
        <w:rPr>
          <w:rtl/>
        </w:rPr>
        <w:t xml:space="preserve">هر پنج آزمون در پیوست آورده شود.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تناقضِ عددیِ درونیِ حالتِ X-V (اهمیت: متوسط).</w:t>
      </w:r>
      <w:r>
        <w:rPr>
          <w:rtl/>
        </w:rPr>
        <w:t xml:space="preserve"> </w:t>
      </w:r>
      <w:r>
        <w:rPr>
          <w:rtl/>
        </w:rPr>
        <w:t xml:space="preserve">بیشینهٔ تنشِ محیطیِ ترکیبِ X-GPL + V-Por</w:t>
      </w:r>
      <w:r>
        <w:rPr>
          <w:rtl/>
        </w:rPr>
        <w:t xml:space="preserve"> </w:t>
      </w:r>
      <w:r>
        <w:rPr>
          <w:rtl/>
        </w:rPr>
        <w:t xml:space="preserve">در یک‌جا</w:t>
      </w:r>
      <w:r>
        <w:rPr>
          <w:rtl/>
        </w:rPr>
        <w:t xml:space="preserve"> </w:t>
      </w:r>
      <w:r>
        <w:rPr>
          <w:b/>
          <w:bCs/>
          <w:rtl/>
        </w:rPr>
        <w:t xml:space="preserve">۴٫۲۰</w:t>
      </w:r>
      <w:r>
        <w:rPr>
          <w:rtl/>
        </w:rPr>
        <w:t xml:space="preserve"> </w:t>
      </w:r>
      <w:r>
        <w:rPr>
          <w:rtl/>
        </w:rPr>
        <w:t xml:space="preserve">(سطرهای مربوط به ماتریس و شکلِ بهترین/بدترین) و در جای دیگر</w:t>
      </w:r>
      <w:r>
        <w:rPr>
          <w:rtl/>
        </w:rPr>
        <w:t xml:space="preserve"> </w:t>
      </w:r>
      <w:r>
        <w:rPr>
          <w:b/>
          <w:bCs/>
          <w:rtl/>
        </w:rPr>
        <w:t xml:space="preserve">۴٫۱۵</w:t>
      </w:r>
      <w:r>
        <w:rPr>
          <w:rtl/>
        </w:rPr>
        <w:t xml:space="preserve"> </w:t>
      </w:r>
      <w:r>
        <w:rPr>
          <w:rtl/>
        </w:rPr>
        <w:t xml:space="preserve">(بندِ</w:t>
      </w:r>
      <w:r>
        <w:rPr>
          <w:rtl/>
        </w:rPr>
        <w:t xml:space="preserve"> </w:t>
      </w:r>
      <w:r>
        <w:rPr>
          <w:rtl/>
        </w:rPr>
        <w:t xml:space="preserve">شکل ۴-۲۴) گزارش شده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عدد یکسان شود و در متن، شکل و جمع‌بندی هماهنگ گردد.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ادعای «نیومارک بهترین است» با جدولِ خودش ناسازگار است (اهمیت: متوسط).</w:t>
      </w:r>
      <w:r>
        <w:rPr>
          <w:rtl/>
        </w:rPr>
        <w:t xml:space="preserve"> </w:t>
      </w:r>
      <w:r>
        <w:rPr>
          <w:rtl/>
        </w:rPr>
        <w:t xml:space="preserve">جدول ۴-۷ نشان می‌دهد</w:t>
      </w:r>
      <w:r>
        <w:rPr>
          <w:rtl/>
        </w:rPr>
        <w:t xml:space="preserve"> </w:t>
      </w:r>
      <w:r>
        <w:rPr>
          <w:rtl/>
        </w:rPr>
        <w:t xml:space="preserve">هوبولت هم دقیق‌تر (۰٫۰۰۲۵ در برابر ۰٫۰۰۳۲ کلوین) و هم سریع‌تر (۰٫۲۴ در برابر ۰٫۳۳ ثانیه) از</w:t>
      </w:r>
      <w:r>
        <w:rPr>
          <w:rtl/>
        </w:rPr>
        <w:t xml:space="preserve"> </w:t>
      </w:r>
      <w:r>
        <w:rPr>
          <w:rtl/>
        </w:rPr>
        <w:t xml:space="preserve">نیومارک است؛ با این حال متن نتیجه می‌گیرد نیومارک «بهترین نسبتِ دقت به هزینه» را دارد. دلیلِ</w:t>
      </w:r>
      <w:r>
        <w:rPr>
          <w:rtl/>
        </w:rPr>
        <w:t xml:space="preserve"> </w:t>
      </w:r>
      <w:r>
        <w:rPr>
          <w:rtl/>
        </w:rPr>
        <w:t xml:space="preserve">واقعیِ گزینشِ نیومارک (نبودِ میراییِ عددی که پیشانیِ موج را نمی‌مالد، برخلافِ هوبولت/ویلسون که</w:t>
      </w:r>
      <w:r>
        <w:rPr>
          <w:rtl/>
        </w:rPr>
        <w:t xml:space="preserve"> </w:t>
      </w:r>
      <w:r>
        <w:rPr>
          <w:rtl/>
        </w:rPr>
        <w:t xml:space="preserve">میراییِ عددیِ قوی دارند) در متن نیامده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توجیهِ فیزیکیِ گزینشِ نیومارک صریح شود</w:t>
      </w:r>
      <w:r>
        <w:rPr>
          <w:rtl/>
        </w:rPr>
        <w:t xml:space="preserve"> </w:t>
      </w:r>
      <w:r>
        <w:rPr>
          <w:rtl/>
        </w:rPr>
        <w:t xml:space="preserve">(حفظِ پیشانیِ صوتِ دوم به‌سببِ نبودِ میراییِ عددی)، وگرنه ادعای «بهترین» با جدول در تضاد می‌ماند.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خطای فیزیکی در تبیینِ گرین–نگدیِ نوع سوم (اهمیت: متوسط).</w:t>
      </w:r>
      <w:r>
        <w:rPr>
          <w:rtl/>
        </w:rPr>
        <w:t xml:space="preserve"> </w:t>
      </w:r>
      <w:r>
        <w:rPr>
          <w:rtl/>
        </w:rPr>
        <w:t xml:space="preserve">§۴-۲۰ فراجهشِ بزرگِ GN-III را با</w:t>
      </w:r>
      <w:r>
        <w:rPr>
          <w:rtl/>
        </w:rPr>
        <w:t xml:space="preserve"> </w:t>
      </w:r>
      <w:r>
        <w:rPr>
          <w:rtl/>
        </w:rPr>
        <w:t xml:space="preserve">این جمله توضیح می‌دهد که «معادلهٔ انرژی‌اش سازوکارِ اتلافی برای میراکردنِ موج ندارد». این ویژگیِ</w:t>
      </w:r>
      <w:r>
        <w:rPr>
          <w:rtl/>
        </w:rPr>
        <w:t xml:space="preserve"> </w:t>
      </w:r>
      <w:r>
        <w:rPr>
          <w:rtl/>
        </w:rPr>
        <w:t xml:space="preserve">گرین–نگدیِ</w:t>
      </w:r>
      <w:r>
        <w:rPr>
          <w:rtl/>
        </w:rPr>
        <w:t xml:space="preserve"> </w:t>
      </w:r>
      <w:r>
        <w:rPr>
          <w:b/>
          <w:bCs/>
          <w:rtl/>
        </w:rPr>
        <w:t xml:space="preserve">نوع دوم</w:t>
      </w:r>
      <w:r>
        <w:rPr>
          <w:rtl/>
        </w:rPr>
        <w:t xml:space="preserve"> </w:t>
      </w:r>
      <w:r>
        <w:rPr>
          <w:rtl/>
        </w:rPr>
        <w:t xml:space="preserve">است، نه نوع سوم؛ نوع سوم اتلافِ انرژی دارد. خودِ حل‌گر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claude_R8.m</w:t>
      </w:r>
      <w:r>
        <w:rPr>
          <w:rtl/>
        </w:rPr>
        <w:t xml:space="preserve"> </w:t>
      </w:r>
      <w:r>
        <w:rPr>
          <w:rtl/>
        </w:rPr>
        <w:t xml:space="preserve">نیز</w:t>
      </w:r>
      <w:r>
        <w:rPr>
          <w:rtl/>
        </w:rPr>
        <w:t xml:space="preserve"> </w:t>
      </w:r>
      <w:r>
        <w:rPr>
          <w:rtl/>
        </w:rPr>
        <w:t xml:space="preserve">GN3 را «Green-Naghdi type III (energy dissipation)» با هر دو جملهٔ</w:t>
      </w:r>
      <w:r>
        <w:rPr>
          <w:rtl/>
        </w:rPr>
        <w:t xml:space="preserve"> </w:t>
      </w:r>
      <w:r>
        <w:rPr>
          <w:rtl/>
        </w:rPr>
        <w:t xml:space="preserve">$k^\*\nabla^2\theta$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k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acc>
          <m:accPr>
            <m:chr m:val="̇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پیاده کرده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تبیین اصلاح شود؛ رفتارِ زمان‌بلندِ متفاوتِ GN-III</w:t>
      </w:r>
      <w:r>
        <w:rPr>
          <w:rtl/>
        </w:rPr>
        <w:t xml:space="preserve"> </w:t>
      </w:r>
      <w:r>
        <w:rPr>
          <w:rtl/>
        </w:rPr>
        <w:t xml:space="preserve">به انتخابِ</w:t>
      </w:r>
      <w:r>
        <w:rPr>
          <w:rtl/>
        </w:rPr>
        <w:t xml:space="preserve"> </w:t>
      </w:r>
      <w:r>
        <w:rPr>
          <w:rtl/>
        </w:rPr>
        <w:t xml:space="preserve">$k^\*=k/\tau_0$</w:t>
      </w:r>
      <w:r>
        <w:rPr>
          <w:rtl/>
        </w:rPr>
        <w:t xml:space="preserve"> </w:t>
      </w:r>
      <w:r>
        <w:rPr>
          <w:rtl/>
        </w:rPr>
        <w:t xml:space="preserve">و تعادلِ دو جملهٔ رسانش نسبت داده شود، نه به «نبودِ اتلاف».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همگراییِ محوریِ غیریکنواخت و خانهٔ خالی در جدول (اهمیت: متوسط).</w:t>
      </w:r>
      <w:r>
        <w:rPr>
          <w:rtl/>
        </w:rPr>
        <w:t xml:space="preserve"> </w:t>
      </w:r>
      <w:r>
        <w:rPr>
          <w:rtl/>
        </w:rPr>
        <w:t xml:space="preserve">جدول ۴-۳ نوسانی است</w:t>
      </w:r>
      <w:r>
        <w:rPr>
          <w:rtl/>
        </w:rPr>
        <w:t xml:space="preserve"> </w:t>
      </w:r>
      <w:r>
        <w:rPr>
          <w:rtl/>
        </w:rPr>
        <w:t xml:space="preserve">(۱٫۳۸، ۱٫۵۳، ۱٫۵۴، ۱٫۵۳، …) و ردیفِ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ستونِ «زمانِ حل» را خالی («—») دارد؛ همچنین مقدارِ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tl/>
        </w:rPr>
        <w:t xml:space="preserve"> </w:t>
      </w:r>
      <w:r>
        <w:rPr>
          <w:rtl/>
        </w:rPr>
        <w:t xml:space="preserve">(۱٫۵۴۳) با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(۱٫۵۲۶) حدود ۱٪ اختلاف دارد. داور می‌پرسد چرا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انتخاب شده و آیا واقعاً همگرا است (با توجه به اختلافِ ~۱٪ میانِ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، معیارِ آستانهٔ پایداریِ خطا باید صریح ذکر شود).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خانهٔ زمانِ خالی پر شود و گزینشِ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با معیارِ روشن (خطای</w:t>
      </w:r>
      <w:r>
        <w:rPr>
          <w:rtl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زیرِ آستانه به‌طورِ پایدار) توجیه شود.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کم‌برآوردِ تنشِ شوکِ گاوسی فقط کیفی مانده (اهمیت: کم/متوسط).</w:t>
      </w:r>
      <w:r>
        <w:rPr>
          <w:rtl/>
        </w:rPr>
        <w:t xml:space="preserve"> </w:t>
      </w:r>
      <w:r>
        <w:rPr>
          <w:rtl/>
        </w:rPr>
        <w:t xml:space="preserve">§۴-۱۷ برای دما عدد می‌دهد</w:t>
      </w:r>
      <w:r>
        <w:rPr>
          <w:rtl/>
        </w:rPr>
        <w:t xml:space="preserve"> </w:t>
      </w:r>
      <w:r>
        <w:rPr>
          <w:rtl/>
        </w:rPr>
        <w:t xml:space="preserve">(۰٫۴۷۸ در برابرِ ۰٫۱۹۵، حدود ۲٫۵ برابر) اما کم‌برآوردِ</w:t>
      </w:r>
      <w:r>
        <w:rPr>
          <w:rtl/>
        </w:rPr>
        <w:t xml:space="preserve"> </w:t>
      </w:r>
      <w:r>
        <w:rPr>
          <w:b/>
          <w:bCs/>
          <w:rtl/>
        </w:rPr>
        <w:t xml:space="preserve">مکانیکی/تنش</w:t>
      </w:r>
      <w:r>
        <w:rPr>
          <w:rtl/>
        </w:rPr>
        <w:t xml:space="preserve"> </w:t>
      </w:r>
      <w:r>
        <w:rPr>
          <w:rtl/>
        </w:rPr>
        <w:t xml:space="preserve">را فقط «چشمگیر» می‌نامد</w:t>
      </w:r>
      <w:r>
        <w:rPr>
          <w:rtl/>
        </w:rPr>
        <w:t xml:space="preserve"> </w:t>
      </w:r>
      <w:r>
        <w:rPr>
          <w:rtl/>
        </w:rPr>
        <w:t xml:space="preserve">بی‌آنکه عدد بدهد.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نسبتِ کم‌برآوردِ تنشِ بیشینهٔ فوریه در برابرِ LS برای پالسِ گاوسی</w:t>
      </w:r>
      <w:r>
        <w:rPr>
          <w:rtl/>
        </w:rPr>
        <w:t xml:space="preserve"> </w:t>
      </w:r>
      <w:r>
        <w:rPr>
          <w:rtl/>
        </w:rPr>
        <w:t xml:space="preserve">کمّی شود تا استدلالِ «به سودِ نظریهٔ تعمیم‌یافته» وزن پیدا کند.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دقتِ ظاهریِ فراتر از همگرایی (اهمیت: کم).</w:t>
      </w:r>
      <w:r>
        <w:rPr>
          <w:rtl/>
        </w:rPr>
        <w:t xml:space="preserve"> </w:t>
      </w:r>
      <w:r>
        <w:rPr>
          <w:rtl/>
        </w:rPr>
        <w:t xml:space="preserve">کمیت‌ها با چهار رقمِ بامعنا گزارش می‌شوند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θ</m:t>
            </m:r>
            <m:r>
              <m:t>θ</m:t>
            </m:r>
          </m:sub>
        </m:sSub>
        <m:r>
          <m:rPr>
            <m:sty m:val="p"/>
          </m:rPr>
          <m:t>=</m:t>
        </m:r>
        <m:r>
          <m:t>1.5264</m:t>
        </m:r>
      </m:oMath>
      <w:r>
        <w:rPr>
          <w:rtl/>
        </w:rPr>
        <w:t xml:space="preserve">) در حالی که خطای همگرایی ~۰٫۲٪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ارقامِ بامعنا با</w:t>
      </w:r>
      <w:r>
        <w:rPr>
          <w:rtl/>
        </w:rPr>
        <w:t xml:space="preserve"> </w:t>
      </w:r>
      <w:r>
        <w:rPr>
          <w:rtl/>
        </w:rPr>
        <w:t xml:space="preserve">عدمِ‌قطعیتِ همگرایی هم‌تراز شوند (سه رقم کافی است).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نبودِ جدولِ جمع‌بندیِ کمیت‌های سرخط (اهمیت: کم).</w:t>
      </w:r>
      <w:r>
        <w:rPr>
          <w:rtl/>
        </w:rPr>
        <w:t xml:space="preserve"> </w:t>
      </w:r>
      <w:r>
        <w:rPr>
          <w:rtl/>
        </w:rPr>
        <w:t xml:space="preserve">ده‌ها عددِ کلیدی در متن پراکنده‌اند اما یک</w:t>
      </w:r>
      <w:r>
        <w:rPr>
          <w:rtl/>
        </w:rPr>
        <w:t xml:space="preserve"> </w:t>
      </w:r>
      <w:r>
        <w:rPr>
          <w:rtl/>
        </w:rPr>
        <w:t xml:space="preserve">جدولِ مرجعِ واحد که بیشینهٔ دما/تنش/جابجاییِ هر مطالعه را کنار هم بگذارد وجود ندارد.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یک جدولِ خلاصهٔ نتایج در پایانِ فصل افزوده شود تا داور بتواند یک‌جا وارسی کند.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سازگاریِ ضریب‌های سرخطِ کاهش با فصل پنجم/چکیده را بسنجید (اهمیت: کم).</w:t>
      </w:r>
      <w:r>
        <w:rPr>
          <w:rtl/>
        </w:rPr>
        <w:t xml:space="preserve"> </w:t>
      </w:r>
      <w:r>
        <w:rPr>
          <w:rtl/>
        </w:rPr>
        <w:t xml:space="preserve">ضریب‌های نمایشیِ</w:t>
      </w:r>
      <w:r>
        <w:rPr>
          <w:rtl/>
        </w:rPr>
        <w:t xml:space="preserve"> </w:t>
      </w:r>
      <w:r>
        <w:rPr>
          <w:rtl/>
        </w:rPr>
        <w:t xml:space="preserve">مانند «~۲۶ برابر» (V-A) و «~۸ برابر» (تخلخلِ A) باید با اعداد چکیده و نتیجه‌گیری یکسان باشند تا</w:t>
      </w:r>
      <w:r>
        <w:rPr>
          <w:rtl/>
        </w:rPr>
        <w:t xml:space="preserve"> </w:t>
      </w:r>
      <w:r>
        <w:rPr>
          <w:rtl/>
        </w:rPr>
        <w:t xml:space="preserve">داور تناقضِ میان‌فصلی نبیند.</w:t>
      </w:r>
      <w:r>
        <w:rPr>
          <w:rtl/>
        </w:rPr>
        <w:t xml:space="preserve"> </w:t>
      </w:r>
      <w:r>
        <w:rPr>
          <w:i/>
          <w:iCs/>
          <w:rtl/>
        </w:rPr>
        <w:t xml:space="preserve">اصلاح:</w:t>
      </w:r>
      <w:r>
        <w:rPr>
          <w:rtl/>
        </w:rPr>
        <w:t xml:space="preserve"> </w:t>
      </w:r>
      <w:r>
        <w:rPr>
          <w:rtl/>
        </w:rPr>
        <w:t xml:space="preserve">یک‌بارِ نهایی، همهٔ ضریب‌های «X برابر» در چکیده، فصل چهار و</w:t>
      </w:r>
      <w:r>
        <w:rPr>
          <w:rtl/>
        </w:rPr>
        <w:t xml:space="preserve"> </w:t>
      </w:r>
      <w:r>
        <w:rPr>
          <w:rtl/>
        </w:rPr>
        <w:t xml:space="preserve">فصل پنج هم‌سنگ شوند.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حکم-کلی"/>
    <w:p>
      <w:pPr>
        <w:pStyle w:val="Heading2"/>
        <w:bidi/>
      </w:pPr>
      <w:r>
        <w:rPr>
          <w:rtl/>
        </w:rPr>
        <w:t xml:space="preserve">حکم کلی</w:t>
      </w:r>
    </w:p>
    <w:p>
      <w:pPr>
        <w:bidi/>
      </w:pPr>
      <w:r>
        <w:rPr>
          <w:rtl/>
        </w:rPr>
        <w:t xml:space="preserve">مجموعهٔ چهار فصل از نظرِ</w:t>
      </w:r>
      <w:r>
        <w:rPr>
          <w:rtl/>
        </w:rPr>
        <w:t xml:space="preserve"> </w:t>
      </w:r>
      <w:r>
        <w:rPr>
          <w:b/>
          <w:bCs/>
          <w:rtl/>
        </w:rPr>
        <w:t xml:space="preserve">محتوای فنی، عمقِ فرمول‌بندی و گستردگیِ مطالعاتِ پارامتری در سطحِ خوبِ یک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پایان‌نامهٔ کارشناسی‌ارشد و بالاتر</w:t>
      </w:r>
      <w:r>
        <w:rPr>
          <w:rtl/>
        </w:rPr>
        <w:t xml:space="preserve"> </w:t>
      </w:r>
      <w:r>
        <w:rPr>
          <w:rtl/>
        </w:rPr>
        <w:t xml:space="preserve">قرار دارد؛ فصل سوم (فرمول‌بندی) و فصل چهارم (نتایج) به‌ویژه قوی،</w:t>
      </w:r>
      <w:r>
        <w:rPr>
          <w:rtl/>
        </w:rPr>
        <w:t xml:space="preserve"> </w:t>
      </w:r>
      <w:r>
        <w:rPr>
          <w:rtl/>
        </w:rPr>
        <w:t xml:space="preserve">منسجم و از نظرِ فیزیکی خودآگاه‌اند و تفسیرِ موجِ صوتِ دوم یکی از نقاطِ ممتازِ کار است. با این حال،</w:t>
      </w:r>
      <w:r>
        <w:rPr>
          <w:rtl/>
        </w:rPr>
        <w:t xml:space="preserve"> </w:t>
      </w:r>
      <w:r>
        <w:rPr>
          <w:rtl/>
        </w:rPr>
        <w:t xml:space="preserve">کار</w:t>
      </w:r>
      <w:r>
        <w:rPr>
          <w:rtl/>
        </w:rPr>
        <w:t xml:space="preserve"> </w:t>
      </w:r>
      <w:r>
        <w:rPr>
          <w:b/>
          <w:bCs/>
          <w:rtl/>
        </w:rPr>
        <w:t xml:space="preserve">در وضعیتِ «پیش‌نویسِ پیشرفته» است، نه آمادهٔ تحویل</w:t>
      </w:r>
      <w:r>
        <w:rPr>
          <w:rtl/>
        </w:rPr>
        <w:t xml:space="preserve">: بزرگ‌ترین موانع، ماهیتِ ویرایشی و</w:t>
      </w:r>
      <w:r>
        <w:rPr>
          <w:rtl/>
        </w:rPr>
        <w:t xml:space="preserve"> </w:t>
      </w:r>
      <w:r>
        <w:rPr>
          <w:rtl/>
        </w:rPr>
        <w:t xml:space="preserve">استنادی‌اند نه علمی — همهٔ شکل‌ها هنوز نگه‌دارند، دستگاهِ ارجاع ناتمام است، یادداشت‌های داخلیِ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در متن مانده‌اند، و جدولِ خواصِ مادیِ سازنده‌ها غایب است. افزون بر این، چند ناسازگاریِ</w:t>
      </w:r>
      <w:r>
        <w:rPr>
          <w:rtl/>
        </w:rPr>
        <w:t xml:space="preserve"> </w:t>
      </w:r>
      <w:r>
        <w:rPr>
          <w:rtl/>
        </w:rPr>
        <w:t xml:space="preserve">عددی/منطقیِ کوچک اما داور-پسند (X-V=۴٫۱۵/۴٫۲۰؛ ادعای نیومارک در برابرِ جدولِ خودش؛ تبیینِ نادرستِ</w:t>
      </w:r>
      <w:r>
        <w:rPr>
          <w:rtl/>
        </w:rPr>
        <w:t xml:space="preserve"> </w:t>
      </w:r>
      <w:r>
        <w:rPr>
          <w:rtl/>
        </w:rPr>
        <w:t xml:space="preserve">GN-III) باید پیش از دفاع بسته شوند. هیچ‌یک از این‌ها ساختارِ علمیِ کار را تهدید نمی‌کند، اما اگر</w:t>
      </w:r>
      <w:r>
        <w:rPr>
          <w:rtl/>
        </w:rPr>
        <w:t xml:space="preserve"> </w:t>
      </w:r>
      <w:r>
        <w:rPr>
          <w:rtl/>
        </w:rPr>
        <w:t xml:space="preserve">اصلاح‌نشده بمانند، در جلسهٔ دفاع دستمایهٔ پرسش خواهند شد.</w:t>
      </w:r>
    </w:p>
    <w:p>
      <w:pPr>
        <w:bidi/>
      </w:pPr>
      <w:r>
        <w:rPr>
          <w:b/>
          <w:bCs/>
          <w:rtl/>
        </w:rPr>
        <w:t xml:space="preserve">جمع‌بندیِ درجه‌بندی:</w:t>
      </w:r>
      <w:r>
        <w:rPr>
          <w:rtl/>
        </w:rPr>
        <w:t xml:space="preserve"> </w:t>
      </w:r>
      <w:r>
        <w:rPr>
          <w:rtl/>
        </w:rPr>
        <w:t xml:space="preserve">یک موردِ اهمیتِ</w:t>
      </w:r>
      <w:r>
        <w:rPr>
          <w:rtl/>
        </w:rPr>
        <w:t xml:space="preserve"> </w:t>
      </w:r>
      <w:r>
        <w:rPr>
          <w:b/>
          <w:bCs/>
          <w:rtl/>
        </w:rPr>
        <w:t xml:space="preserve">بالا</w:t>
      </w:r>
      <w:r>
        <w:rPr>
          <w:rtl/>
        </w:rPr>
        <w:t xml:space="preserve"> </w:t>
      </w:r>
      <w:r>
        <w:rPr>
          <w:rtl/>
        </w:rPr>
        <w:t xml:space="preserve">در فصل سه (نبودِ جدولِ خواصِ سازنده‌ها) و یک موردِ اهمیتِ</w:t>
      </w:r>
      <w:r>
        <w:rPr>
          <w:rtl/>
        </w:rPr>
        <w:t xml:space="preserve"> </w:t>
      </w:r>
      <w:r>
        <w:rPr>
          <w:b/>
          <w:bCs/>
          <w:rtl/>
        </w:rPr>
        <w:t xml:space="preserve">بالا</w:t>
      </w:r>
      <w:r>
        <w:rPr>
          <w:rtl/>
        </w:rPr>
        <w:t xml:space="preserve"> </w:t>
      </w:r>
      <w:r>
        <w:rPr>
          <w:rtl/>
        </w:rPr>
        <w:t xml:space="preserve">در فصل</w:t>
      </w:r>
      <w:r>
        <w:rPr>
          <w:rtl/>
        </w:rPr>
        <w:t xml:space="preserve"> </w:t>
      </w:r>
      <w:r>
        <w:rPr>
          <w:rtl/>
        </w:rPr>
        <w:t xml:space="preserve">چهار (شکل‌های جای‌گذارنده)؛ اثرِ نبودِ جدولِ خواص هر دو فصل را متأثر می‌کند و همان ریشه است. به‌علاوه مجموعه‌ای از موارد</w:t>
      </w:r>
      <w:r>
        <w:rPr>
          <w:rtl/>
        </w:rPr>
        <w:t xml:space="preserve"> </w:t>
      </w:r>
      <w:r>
        <w:rPr>
          <w:b/>
          <w:bCs/>
          <w:rtl/>
        </w:rPr>
        <w:t xml:space="preserve">متوسط</w:t>
      </w:r>
      <w:r>
        <w:rPr>
          <w:rtl/>
        </w:rPr>
        <w:t xml:space="preserve"> </w:t>
      </w:r>
      <w:r>
        <w:rPr>
          <w:rtl/>
        </w:rPr>
        <w:t xml:space="preserve">که همگی اصلاح‌پذیرند.</w:t>
      </w:r>
    </w:p>
    <w:p>
      <w:r>
        <w:pict>
          <v:rect style="width:0;height:1.5pt" o:hralign="center" o:hrstd="t" o:hr="t"/>
        </w:pict>
      </w:r>
    </w:p>
    <w:bookmarkEnd w:id="21"/>
    <w:bookmarkStart w:id="22" w:name="پنج-اولویت-نخست-پیش-از-تحویل"/>
    <w:p>
      <w:pPr>
        <w:pStyle w:val="Heading2"/>
        <w:bidi/>
      </w:pPr>
      <w:r>
        <w:rPr>
          <w:rtl/>
        </w:rPr>
        <w:t xml:space="preserve">پنج اولویتِ نخست پیش از تحویل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[بالا] تولید و جای‌گذاریِ همهٔ شکل‌ها</w:t>
      </w:r>
      <w:r>
        <w:rPr>
          <w:rtl/>
        </w:rPr>
        <w:t xml:space="preserve"> </w:t>
      </w:r>
      <w:r>
        <w:rPr>
          <w:rtl/>
        </w:rPr>
        <w:t xml:space="preserve">در فصل‌های سه و چهار (≈۳۵ شکل)؛ بدونِ آن‌ها استدلالِ</w:t>
      </w:r>
      <w:r>
        <w:rPr>
          <w:rtl/>
        </w:rPr>
        <w:t xml:space="preserve"> </w:t>
      </w:r>
      <w:r>
        <w:rPr>
          <w:rtl/>
        </w:rPr>
        <w:t xml:space="preserve">نتایج قابلِ داوری نیست.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[بالا] افزودنِ جدولِ خواصِ مادیِ سازنده‌ها</w:t>
      </w:r>
      <w:r>
        <w:rPr>
          <w:rtl/>
        </w:rPr>
        <w:t xml:space="preserve"> </w:t>
      </w:r>
      <w:r>
        <w:rPr>
          <w:rtl/>
        </w:rPr>
        <w:t xml:space="preserve">(فلز/زمینه + گرافن، با واحد و منبع) در فصل سه، و</w:t>
      </w:r>
      <w:r>
        <w:rPr>
          <w:rtl/>
        </w:rPr>
        <w:t xml:space="preserve"> </w:t>
      </w:r>
      <w:r>
        <w:rPr>
          <w:rtl/>
        </w:rPr>
        <w:t xml:space="preserve">نمایشِ صریحِ مقادیرِ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، آستانهٔ پرکولاسیون و</w:t>
      </w:r>
      <w:r>
        <w:rPr>
          <w:rtl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tl/>
        </w:rPr>
        <w:t xml:space="preserve">؛ این پایهٔ بازتولیدپذیریِ کل کار است.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[متوسط] بستنِ کارهای ویرایشیِ معلق:</w:t>
      </w:r>
      <w:r>
        <w:rPr>
          <w:rtl/>
        </w:rPr>
        <w:t xml:space="preserve"> </w:t>
      </w:r>
      <w:r>
        <w:rPr>
          <w:rtl/>
        </w:rPr>
        <w:t xml:space="preserve">حذفِ همهٔ کامنت‌های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PENDING</w:t>
      </w:r>
      <w:r>
        <w:rPr>
          <w:rtl/>
        </w:rPr>
        <w:t xml:space="preserve">، یکسان‌سازیِ سراسریِ</w:t>
      </w:r>
      <w:r>
        <w:rPr>
          <w:rtl/>
        </w:rPr>
        <w:t xml:space="preserve"> </w:t>
      </w:r>
      <w:r>
        <w:rPr>
          <w:rtl/>
        </w:rPr>
        <w:t xml:space="preserve">دستگاهِ ارجاع (قالبِ نهایی + شماره‌گذاریِ ترتیبی)، و روشن‌کردنِ هویتِ مرجعِ کلیدیِ [۶].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[متوسط] رفعِ سه ناسازگاریِ فنی/عددیِ داور-پسند:</w:t>
      </w:r>
      <w:r>
        <w:rPr>
          <w:rtl/>
        </w:rPr>
        <w:t xml:space="preserve"> </w:t>
      </w:r>
      <w:r>
        <w:rPr>
          <w:rtl/>
        </w:rPr>
        <w:t xml:space="preserve">یکسان‌کردنِ X-V (۴٫۱۵ ↔ ۴٫۲۰)؛ افزودنِ</w:t>
      </w:r>
      <w:r>
        <w:rPr>
          <w:rtl/>
        </w:rPr>
        <w:t xml:space="preserve"> </w:t>
      </w:r>
      <w:r>
        <w:rPr>
          <w:rtl/>
        </w:rPr>
        <w:t xml:space="preserve">توجیهِ فیزیکیِ گزینشِ نیومارک به‌رغمِ برتریِ عددیِ هوبولت در جدول ۴-۷؛ و تصحیحِ تبیینِ گرین–نگدیِ</w:t>
      </w:r>
      <w:r>
        <w:rPr>
          <w:rtl/>
        </w:rPr>
        <w:t xml:space="preserve"> </w:t>
      </w:r>
      <w:r>
        <w:rPr>
          <w:rtl/>
        </w:rPr>
        <w:t xml:space="preserve">نوع سوم (اتلاف دارد؛ ویژگیِ «بی‌اتلاف» به نوع دوم تعلق دارد).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[متوسط] تقویتِ صحت‌سنجیِ هستهٔ نظری:</w:t>
      </w:r>
      <w:r>
        <w:rPr>
          <w:rtl/>
        </w:rPr>
        <w:t xml:space="preserve"> </w:t>
      </w:r>
      <w:r>
        <w:rPr>
          <w:rtl/>
        </w:rPr>
        <w:t xml:space="preserve">تبدیلِ آزمونِ کیفیِ موجِ LS به یک سنجهٔ کمّی (خطای سرعتِ</w:t>
      </w:r>
      <w:r>
        <w:rPr>
          <w:rtl/>
        </w:rPr>
        <w:t xml:space="preserve"> </w:t>
      </w:r>
      <w:r>
        <w:rPr>
          <w:rtl/>
        </w:rPr>
        <w:t xml:space="preserve">موج/زمانِ بازتاب) و آوردنِ نمودارِ هر پنج آزمونِ صحت‌سنجی در پیوست.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2026-08-05T18:02:42Z</dcterms:created>
  <dcterms:modified xsi:type="dcterms:W3CDTF">2026-08-05T18:02:42Z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