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c0b00ed8db99766855d3e40e68af6cedb573e5"/>
    <w:p>
      <w:pPr>
        <w:pStyle w:val="Heading1"/>
      </w:pPr>
      <w:r>
        <w:t xml:space="preserve">مراجعِ «سابقهٔ استفاده» برای بخش‌های ۴-۱۸، ۴-۱۹ و ۴-۲۰</w:t>
      </w:r>
    </w:p>
    <w:p>
      <w:pPr>
        <w:pStyle w:val="FirstParagraph"/>
      </w:pPr>
      <w:r>
        <w:t xml:space="preserve">هدف: برای هر روش/نظریهٔ عددی که در این سه مطالعهٔ مقایسه‌ای به‌کار رفته، حداقل یک مقاله معرفی شود</w:t>
      </w:r>
      <w:r>
        <w:t xml:space="preserve"> </w:t>
      </w:r>
      <w:r>
        <w:t xml:space="preserve">که</w:t>
      </w:r>
      <w:r>
        <w:t xml:space="preserve"> </w:t>
      </w:r>
      <w:r>
        <w:rPr>
          <w:b/>
          <w:bCs/>
        </w:rPr>
        <w:t xml:space="preserve">همان روش را به‌کار برده باشد</w:t>
      </w:r>
      <w:r>
        <w:t xml:space="preserve"> </w:t>
      </w:r>
      <w:r>
        <w:t xml:space="preserve">— نه مقاله‌ای که نتایج با آن صحت‌سنجی شده باشد. به همین دلیل</w:t>
      </w:r>
      <w:r>
        <w:t xml:space="preserve"> </w:t>
      </w:r>
      <w:r>
        <w:t xml:space="preserve">تمامی منابع صحت‌سنجیِ پایان‌نامه (Benchmark 1–3؛ ردیف‌های Tier 1 در</w:t>
      </w:r>
      <w:r>
        <w:t xml:space="preserve"> </w:t>
      </w:r>
      <w:r>
        <w:rPr>
          <w:rStyle w:val="VerbatimChar"/>
        </w:rPr>
        <w:t xml:space="preserve">papers/ANNOTATED_BIBLIOGRAPHY.md</w:t>
      </w:r>
      <w:r>
        <w:t xml:space="preserve">) عمداً از این فهرست کنار گذاشته شده‌اند تا دوگانگیِ نقش</w:t>
      </w:r>
      <w:r>
        <w:t xml:space="preserve"> </w:t>
      </w:r>
      <w:r>
        <w:t xml:space="preserve">(هم صحت‌سنجی، هم سابقهٔ کاربرد) ایجاد نشود.</w:t>
      </w:r>
    </w:p>
    <w:p>
      <w:pPr>
        <w:pStyle w:val="BodyText"/>
      </w:pPr>
      <w:r>
        <w:t xml:space="preserve">وضعیت هر مرجع با یکی از این برچسب‌ها مشخص شده: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[کتابخانه]</w:t>
      </w:r>
      <w:r>
        <w:t xml:space="preserve"> </w:t>
      </w:r>
      <w:r>
        <w:t xml:space="preserve">— PDF آن از قبل در</w:t>
      </w:r>
      <w:r>
        <w:t xml:space="preserve"> </w:t>
      </w:r>
      <w:r>
        <w:rPr>
          <w:rStyle w:val="VerbatimChar"/>
        </w:rPr>
        <w:t xml:space="preserve">papers/All papers(p.1–7)</w:t>
      </w:r>
      <w:r>
        <w:t xml:space="preserve"> </w:t>
      </w:r>
      <w:r>
        <w:t xml:space="preserve">موجود است؛ فقط باید شماره‌گذاریِ</w:t>
      </w:r>
      <w:r>
        <w:t xml:space="preserve"> </w:t>
      </w:r>
      <w:r>
        <w:t xml:space="preserve">ارجاع در فهرست منابع/EndNote ثبت شود.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[جدید — نیاز به دانلود]</w:t>
      </w:r>
      <w:r>
        <w:t xml:space="preserve"> </w:t>
      </w:r>
      <w:r>
        <w:t xml:space="preserve">— در جست‌وجوی وب پیدا شد، در کتابخانهٔ فعلی نیست.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[مرجعِ منشأ روش]</w:t>
      </w:r>
      <w:r>
        <w:t xml:space="preserve"> </w:t>
      </w:r>
      <w:r>
        <w:t xml:space="preserve">— هیچ مقالهٔ کاربردیِ نزدیک به حوزهٔ پایان‌نامه (حتی با گستردن دامنه به</w:t>
      </w:r>
      <w:r>
        <w:t xml:space="preserve"> </w:t>
      </w:r>
      <w:r>
        <w:t xml:space="preserve">دینامیک سازه‌ایِ کامپوزیت/FG) پیدا نشد؛ طبق رویهٔ استاندارد، به مقالهٔ اصلیِ معرفی‌کنندهٔ روش</w:t>
      </w:r>
      <w:r>
        <w:t xml:space="preserve"> </w:t>
      </w:r>
      <w:r>
        <w:t xml:space="preserve">استناد می‌شود (این نوع استناد با «صحت‌سنجی» فرق دارد و در کار شما مجاز است).</w:t>
      </w:r>
    </w:p>
    <w:p>
      <w:r>
        <w:pict>
          <v:rect style="width:0;height:1.5pt" o:hralign="center" o:hrstd="t" o:hr="t"/>
        </w:pict>
      </w:r>
    </w:p>
    <w:bookmarkStart w:id="9" w:name="مقایسه-روشهای-انتگرالگیری-زمانی"/>
    <w:p>
      <w:pPr>
        <w:pStyle w:val="Heading2"/>
      </w:pPr>
      <w:r>
        <w:t xml:space="preserve">۴-۱۸. مقایسهٔ روش‌های انتگرال‌گیری زمانی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روش</w:t>
            </w:r>
          </w:p>
        </w:tc>
        <w:tc>
          <w:tcPr/>
          <w:p>
            <w:pPr>
              <w:pStyle w:val="Compact"/>
            </w:pPr>
            <w:r>
              <w:t xml:space="preserve">مرجعِ پیشنهادی</w:t>
            </w:r>
          </w:p>
        </w:tc>
        <w:tc>
          <w:tcPr/>
          <w:p>
            <w:pPr>
              <w:pStyle w:val="Compact"/>
            </w:pPr>
            <w:r>
              <w:t xml:space="preserve">وضعیت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نیومارک</w:t>
            </w:r>
          </w:p>
        </w:tc>
        <w:tc>
          <w:tcPr/>
          <w:p>
            <w:pPr>
              <w:pStyle w:val="Compact"/>
            </w:pPr>
            <w:r>
              <w:t xml:space="preserve">مجموعهٔ Heydarpour/Malekzadeh که همیشه DQM+نیومارک به‌کار می‌برند — مثلاً Heydarpour et al. (2020),</w:t>
            </w:r>
            <w:r>
              <w:t xml:space="preserve"> </w:t>
            </w:r>
            <w:r>
              <w:rPr>
                <w:i/>
                <w:iCs/>
              </w:rPr>
              <w:t xml:space="preserve">Thin-Walled Struct.</w:t>
            </w:r>
            <w:r>
              <w:t xml:space="preserve"> </w:t>
            </w:r>
            <w:r>
              <w:t xml:space="preserve">155, 106914؛ یا رونوشت‌های دیگرِ همان گروه در بخش ۴-۱۹ پایین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10.1016_j.tws.2020.106914.pdf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لاپلاس–دوربین</w:t>
            </w:r>
          </w:p>
        </w:tc>
        <w:tc>
          <w:tcPr/>
          <w:p>
            <w:pPr>
              <w:pStyle w:val="Compact"/>
            </w:pPr>
            <w:r>
              <w:t xml:space="preserve">Bahtui &amp; Eslami (2005),</w:t>
            </w:r>
            <w:r>
              <w:t xml:space="preserve"> </w:t>
            </w:r>
            <w:r>
              <w:rPr>
                <w:i/>
                <w:iCs/>
              </w:rPr>
              <w:t xml:space="preserve">Mech. Res. Commun.</w:t>
            </w:r>
            <w:r>
              <w:t xml:space="preserve"> </w:t>
            </w:r>
            <w:r>
              <w:t xml:space="preserve">— ترموالاستیسیتهٔ کلاسیکِ ممزوج، پوستهٔ استوانه‌ایِ FG، FEM گالرکین + لاپلاس-دوربین (Durbin 1973 تأیید شد با بررسیِ مستقیمِ متنِ PDF)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10.1016_j.mechrescom.2005.09.003.pdf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Bahtui &amp; Eslami (2007),</w:t>
            </w:r>
            <w:r>
              <w:t xml:space="preserve"> </w:t>
            </w:r>
            <w:r>
              <w:rPr>
                <w:i/>
                <w:iCs/>
              </w:rPr>
              <w:t xml:space="preserve">Int. J. Numer. Methods Eng.</w:t>
            </w:r>
            <w:r>
              <w:t xml:space="preserve"> </w:t>
            </w:r>
            <w:r>
              <w:t xml:space="preserve">72(10) — همین روش، مقایسهٔ لرد–شولمن/گرین–لیندزی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10.1002_nme.1782.pdf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ویلسون-θ</w:t>
            </w:r>
          </w:p>
        </w:tc>
        <w:tc>
          <w:tcPr/>
          <w:p>
            <w:pPr>
              <w:pStyle w:val="Compact"/>
            </w:pPr>
            <w:r>
              <w:t xml:space="preserve">Ozkul, T. A. (2004),</w:t>
            </w:r>
            <w:r>
              <w:t xml:space="preserve"> </w:t>
            </w:r>
            <w:r>
              <w:t xml:space="preserve">“A finite element formulation for dynamic analysis of shells of general shape by using the Wilson-θ method,”</w:t>
            </w:r>
            <w:r>
              <w:t xml:space="preserve"> </w:t>
            </w:r>
            <w:r>
              <w:rPr>
                <w:i/>
                <w:iCs/>
              </w:rPr>
              <w:t xml:space="preserve">Thin-Walled Structures</w:t>
            </w:r>
            <w:r>
              <w:t xml:space="preserve"> </w:t>
            </w:r>
            <w:r>
              <w:t xml:space="preserve">42(4), 497–513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[جدید — نیاز به دانلود]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هوبولت</w:t>
            </w:r>
          </w:p>
        </w:tc>
        <w:tc>
          <w:tcPr/>
          <w:p>
            <w:pPr>
              <w:pStyle w:val="Compact"/>
            </w:pPr>
            <w:r>
              <w:t xml:space="preserve">Pandey, Upadhyay &amp; Shukla (2012),</w:t>
            </w:r>
            <w:r>
              <w:t xml:space="preserve"> </w:t>
            </w:r>
            <w:r>
              <w:t xml:space="preserve">“Nonlinear Dynamic Response of Elastically Supported Laminated Composite Plates,”</w:t>
            </w:r>
            <w:r>
              <w:t xml:space="preserve"> </w:t>
            </w:r>
            <w:r>
              <w:rPr>
                <w:i/>
                <w:iCs/>
              </w:rPr>
              <w:t xml:space="preserve">Mechanics of Advanced Materials and Structures</w:t>
            </w:r>
            <w:r>
              <w:t xml:space="preserve"> </w:t>
            </w:r>
            <w:r>
              <w:t xml:space="preserve">19(6), 397–420 — صفحهٔ کامپوزیتیِ لایه‌ای، طرح زمانیِ هوبولت + سری چبیشف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[جدید — نیاز به دانلود]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HHT-α</w:t>
            </w:r>
          </w:p>
        </w:tc>
        <w:tc>
          <w:tcPr/>
          <w:p>
            <w:pPr>
              <w:pStyle w:val="Compact"/>
            </w:pPr>
            <w:r>
              <w:t xml:space="preserve">مقالهٔ ترکیب روش المان طیفی (SEM) با HHT روی تیرهای تیموشنکوی مدرج تابعی (FG) بر بسترِ ویسکوالاستیکِ Vlasov،</w:t>
            </w:r>
            <w:r>
              <w:t xml:space="preserve"> </w:t>
            </w:r>
            <w:r>
              <w:rPr>
                <w:i/>
                <w:iCs/>
              </w:rPr>
              <w:t xml:space="preserve">MDPI</w:t>
            </w:r>
            <w:r>
              <w:t xml:space="preserve"> </w:t>
            </w:r>
            <w:r>
              <w:t xml:space="preserve">(۲۰۲۴) — عنوان کامل:</w:t>
            </w:r>
            <w:r>
              <w:t xml:space="preserve"> </w:t>
            </w:r>
            <w:r>
              <w:t xml:space="preserve">“A Combined Spectral Element Method and Hilber–Hughes–Taylor Framework for Investigating the Transient Response of Functionally Graded Timoshenko Beams on Biparametric Vlasov Foundations”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[جدید — نیاز به دانلود]</w:t>
            </w:r>
            <w:r>
              <w:t xml:space="preserve">؛ نام نویسندگان باید از صفحهٔ مقاله استخراج و تکمیل شود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ode15s</w:t>
            </w:r>
          </w:p>
        </w:tc>
        <w:tc>
          <w:tcPr/>
          <w:p>
            <w:pPr>
              <w:pStyle w:val="Compact"/>
            </w:pPr>
            <w:r>
              <w:t xml:space="preserve">Shampine &amp; Reichelt (1997),</w:t>
            </w:r>
            <w:r>
              <w:t xml:space="preserve"> </w:t>
            </w:r>
            <w:r>
              <w:t xml:space="preserve">“The MATLAB ODE Suite,”</w:t>
            </w:r>
            <w:r>
              <w:t xml:space="preserve"> </w:t>
            </w:r>
            <w:r>
              <w:rPr>
                <w:i/>
                <w:iCs/>
              </w:rPr>
              <w:t xml:space="preserve">SIAM J. Sci. Comput.</w:t>
            </w:r>
            <w:r>
              <w:t xml:space="preserve"> </w:t>
            </w:r>
            <w:r>
              <w:t xml:space="preserve">18(1), 1–22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[مرجعِ منشأ روش]</w:t>
            </w:r>
            <w:r>
              <w:t xml:space="preserve"> </w:t>
            </w:r>
            <w:r>
              <w:t xml:space="preserve">— حتی با گستردن دامنه به کل دینامیکِ سازه‌ایِ کامپوزیت/FG/ترموالاستیسیته، مقاله‌ای که ode15s را به‌عنوان روشِ اصلیِ گزارش‌شده به‌کار برده باشد پیدا نشد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مقایسه-روشهای-گسستهسازی-مکانی"/>
    <w:p>
      <w:pPr>
        <w:pStyle w:val="Heading2"/>
      </w:pPr>
      <w:r>
        <w:t xml:space="preserve">۴-۱۹. مقایسهٔ روش‌های گسسته‌سازی مکانی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روش</w:t>
            </w:r>
          </w:p>
        </w:tc>
        <w:tc>
          <w:tcPr/>
          <w:p>
            <w:pPr>
              <w:pStyle w:val="Compact"/>
            </w:pPr>
            <w:r>
              <w:t xml:space="preserve">مرجعِ پیشنهادی</w:t>
            </w:r>
          </w:p>
        </w:tc>
        <w:tc>
          <w:tcPr/>
          <w:p>
            <w:pPr>
              <w:pStyle w:val="Compact"/>
            </w:pPr>
            <w:r>
              <w:t xml:space="preserve">وضعیت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DQM</w:t>
            </w:r>
          </w:p>
        </w:tc>
        <w:tc>
          <w:tcPr/>
          <w:p>
            <w:pPr>
              <w:pStyle w:val="Compact"/>
            </w:pPr>
            <w:r>
              <w:t xml:space="preserve">Heydarpour, Malekzadeh &amp; Vaghefi (2012),</w:t>
            </w:r>
            <w:r>
              <w:t xml:space="preserve"> </w:t>
            </w:r>
            <w:r>
              <w:rPr>
                <w:i/>
                <w:iCs/>
              </w:rPr>
              <w:t xml:space="preserve">Acta Mech.</w:t>
            </w:r>
            <w:r>
              <w:t xml:space="preserve"> </w:t>
            </w:r>
            <w:r>
              <w:t xml:space="preserve">— پوستهٔ استوانه‌ایِ FG دوّار، LW-DQM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10.1007_s00707-011-0551-6.pdf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DQM سه‌بعدیِ غیرخطیِ ترموالاستیک روی استوانهٔ FG + پیزو (2012)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10.1007_s00707-012-0716-y.pdf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GDQ روی پوستهٔ استوانه‌ایِ FG تقویت‌شده با الیاف، ترموالاستیک (2013)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10.1016_j.apm.2013.01.005.pdf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DQM روی استوانهٔ کامپوزیتی (2005)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10.1016_j.compstruct.2005.10.003.pdf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FEM</w:t>
            </w:r>
          </w:p>
        </w:tc>
        <w:tc>
          <w:tcPr/>
          <w:p>
            <w:pPr>
              <w:pStyle w:val="Compact"/>
            </w:pPr>
            <w:r>
              <w:t xml:space="preserve">Bahtui &amp; Eslami (2005),</w:t>
            </w:r>
            <w:r>
              <w:t xml:space="preserve"> </w:t>
            </w:r>
            <w:r>
              <w:rPr>
                <w:i/>
                <w:iCs/>
              </w:rPr>
              <w:t xml:space="preserve">Mech. Res. Commun.</w:t>
            </w:r>
            <w:r>
              <w:t xml:space="preserve"> </w:t>
            </w:r>
            <w:r>
              <w:t xml:space="preserve">— ترموالاستیسیتهٔ کلاسیکِ ممزوج، FEM گالرکین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10.1016_j.mechrescom.2005.09.003.pdf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Bahtui &amp; Eslami (2007),</w:t>
            </w:r>
            <w:r>
              <w:t xml:space="preserve"> </w:t>
            </w:r>
            <w:r>
              <w:rPr>
                <w:i/>
                <w:iCs/>
              </w:rPr>
              <w:t xml:space="preserve">IJNME</w:t>
            </w:r>
            <w:r>
              <w:t xml:space="preserve"> </w:t>
            </w:r>
            <w:r>
              <w:t xml:space="preserve">— همین روش، لرد–شولمن/گرین–لیندزی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10.1002_nme.1782.pdf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FDM</w:t>
            </w:r>
          </w:p>
        </w:tc>
        <w:tc>
          <w:tcPr/>
          <w:p>
            <w:pPr>
              <w:pStyle w:val="Compact"/>
            </w:pPr>
            <w:r>
              <w:t xml:space="preserve">Dai, Rao &amp; Jiang (2013),</w:t>
            </w:r>
            <w:r>
              <w:t xml:space="preserve"> </w:t>
            </w:r>
            <w:r>
              <w:rPr>
                <w:i/>
                <w:iCs/>
              </w:rPr>
              <w:t xml:space="preserve">J. Composite Materials</w:t>
            </w:r>
            <w:r>
              <w:t xml:space="preserve"> </w:t>
            </w:r>
            <w:r>
              <w:t xml:space="preserve">47(3), 315–325 — استوانهٔ توخالیِ FG، تفاضل محدود + نیومارک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[جدید — نیاز به دانلود]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Homayouni, Shariyat &amp; Rahmani (2022),</w:t>
            </w:r>
            <w:r>
              <w:t xml:space="preserve"> </w:t>
            </w:r>
            <w:r>
              <w:rPr>
                <w:i/>
                <w:iCs/>
              </w:rPr>
              <w:t xml:space="preserve">Thin-Walled Struct.</w:t>
            </w:r>
            <w:r>
              <w:t xml:space="preserve"> </w:t>
            </w:r>
            <w:r>
              <w:t xml:space="preserve">177, 109359 — استوانهٔ ضخیمِ FG، نظریهٔ لرد–شولمن، تفاضل محدود — DOI:</w:t>
            </w:r>
            <w:r>
              <w:t xml:space="preserve"> </w:t>
            </w:r>
            <w:r>
              <w:rPr>
                <w:rStyle w:val="VerbatimChar"/>
              </w:rPr>
              <w:t xml:space="preserve">10.1016/j.tws.2022.109359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[جدید — نیاز به دانلود]</w:t>
            </w:r>
            <w:r>
              <w:t xml:space="preserve"> </w:t>
            </w:r>
            <w:r>
              <w:t xml:space="preserve">(کاربرد دوگانه: هم FDM در ۴-۱۹، هم لرد–شولمن در ۴-۲۰)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f9934a6e1411b18b38d65a0fc417b4ad0d30b99"/>
    <w:p>
      <w:pPr>
        <w:pStyle w:val="Heading2"/>
      </w:pPr>
      <w:r>
        <w:t xml:space="preserve">۴-۲۰. مقایسهٔ نظریه‌های ترموالاستیسیتهٔ تعمیم‌یافته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نظریه</w:t>
            </w:r>
          </w:p>
        </w:tc>
        <w:tc>
          <w:tcPr/>
          <w:p>
            <w:pPr>
              <w:pStyle w:val="Compact"/>
            </w:pPr>
            <w:r>
              <w:t xml:space="preserve">مرجعِ پیشنهادی</w:t>
            </w:r>
          </w:p>
        </w:tc>
        <w:tc>
          <w:tcPr/>
          <w:p>
            <w:pPr>
              <w:pStyle w:val="Compact"/>
            </w:pPr>
            <w:r>
              <w:t xml:space="preserve">وضعیت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کلاسیکِ ممزوج (فوریه)</w:t>
            </w:r>
          </w:p>
        </w:tc>
        <w:tc>
          <w:tcPr/>
          <w:p>
            <w:pPr>
              <w:pStyle w:val="Compact"/>
            </w:pPr>
            <w:r>
              <w:t xml:space="preserve">Bahtui &amp; Eslami (2005),</w:t>
            </w:r>
            <w:r>
              <w:t xml:space="preserve"> </w:t>
            </w:r>
            <w:r>
              <w:rPr>
                <w:i/>
                <w:iCs/>
              </w:rPr>
              <w:t xml:space="preserve">Mech. Res. Commun.</w:t>
            </w:r>
            <w:r>
              <w:t xml:space="preserve"> </w:t>
            </w:r>
            <w:r>
              <w:t xml:space="preserve">— دقیقاً نظریهٔ کلاسیک، پوستهٔ استوانه‌ایِ FG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10.1016_j.mechrescom.2005.09.003.pdf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لرد–شولمن</w:t>
            </w:r>
          </w:p>
        </w:tc>
        <w:tc>
          <w:tcPr/>
          <w:p>
            <w:pPr>
              <w:pStyle w:val="Compact"/>
            </w:pPr>
            <w:r>
              <w:t xml:space="preserve">Heydarpour, Malekzadeh &amp; Gholipour (2019),</w:t>
            </w:r>
            <w:r>
              <w:t xml:space="preserve"> </w:t>
            </w:r>
            <w:r>
              <w:rPr>
                <w:i/>
                <w:iCs/>
              </w:rPr>
              <w:t xml:space="preserve">Compos. Part B</w:t>
            </w:r>
            <w:r>
              <w:t xml:space="preserve"> </w:t>
            </w:r>
            <w:r>
              <w:t xml:space="preserve">164, 400–424 — پوستهٔ کرویِ GPLRC، LS (مرجعِ اصلیِ/والدِ این پایان‌نامه)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10.1016_j.compositesb.2018.12.073.pdf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Bahtui &amp; Eslami (2007),</w:t>
            </w:r>
            <w:r>
              <w:t xml:space="preserve"> </w:t>
            </w:r>
            <w:r>
              <w:rPr>
                <w:i/>
                <w:iCs/>
              </w:rPr>
              <w:t xml:space="preserve">IJNME</w:t>
            </w:r>
            <w:r>
              <w:t xml:space="preserve"> </w:t>
            </w:r>
            <w:r>
              <w:t xml:space="preserve">— LS در برابر گرین–لیندزی، FEM+لاپلاس-دوربین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10.1002_nme.1782.pdf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Homayouni, Shariyat &amp; Rahmani (2022),</w:t>
            </w:r>
            <w:r>
              <w:t xml:space="preserve"> </w:t>
            </w:r>
            <w:r>
              <w:rPr>
                <w:i/>
                <w:iCs/>
              </w:rPr>
              <w:t xml:space="preserve">Thin-Walled Struct.</w:t>
            </w:r>
            <w:r>
              <w:t xml:space="preserve"> </w:t>
            </w:r>
            <w:r>
              <w:t xml:space="preserve">177, 109359 — استوانهٔ ضخیمِ FG، LS، تفاضل محدود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[جدید — نیاز به دانلود]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تأخیرِ دوفازی (DPL)</w:t>
            </w:r>
          </w:p>
        </w:tc>
        <w:tc>
          <w:tcPr/>
          <w:p>
            <w:pPr>
              <w:pStyle w:val="Compact"/>
            </w:pPr>
            <w:r>
              <w:t xml:space="preserve">Ghasemi, Hoseinzadeh &amp; Memon (2022),</w:t>
            </w:r>
            <w:r>
              <w:t xml:space="preserve"> </w:t>
            </w:r>
            <w:r>
              <w:rPr>
                <w:i/>
                <w:iCs/>
              </w:rPr>
              <w:t xml:space="preserve">Int. Commun. Heat Mass Transfer</w:t>
            </w:r>
            <w:r>
              <w:t xml:space="preserve"> </w:t>
            </w:r>
            <w:r>
              <w:t xml:space="preserve">131, 105858 — تحلیل DPL غیرفوریهٔ گذرا روی مادهٔ استوانه‌ایِ FG تحت شار حرارتی محوری — DOI:</w:t>
            </w:r>
            <w:r>
              <w:t xml:space="preserve"> </w:t>
            </w:r>
            <w:r>
              <w:rPr>
                <w:rStyle w:val="VerbatimChar"/>
              </w:rPr>
              <w:t xml:space="preserve">10.1016/j.icheatmasstransfer.2021.105858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[جدید — نیاز به دانلود]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گرین–نگدیِ نوع سوم</w:t>
            </w:r>
          </w:p>
        </w:tc>
        <w:tc>
          <w:tcPr/>
          <w:p>
            <w:pPr>
              <w:pStyle w:val="Compact"/>
            </w:pPr>
            <w:r>
              <w:t xml:space="preserve">Hosseini (2021),</w:t>
            </w:r>
            <w:r>
              <w:t xml:space="preserve"> </w:t>
            </w:r>
            <w:r>
              <w:rPr>
                <w:i/>
                <w:iCs/>
              </w:rPr>
              <w:t xml:space="preserve">Thin-Walled Struct.</w:t>
            </w:r>
            <w:r>
              <w:t xml:space="preserve"> </w:t>
            </w:r>
            <w:r>
              <w:t xml:space="preserve">166, 108108 — استوانهٔ هیبریدیِ GPL+CNT، شوک گاوسی، GN-III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10.1016_j.tws.2021.108108.pdf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استوانهٔ چندلایهٔ GPL، ترموالاستیسیتهٔ ممزوج، GN، MLPG (2023)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[کتابخانه]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10.1007_s42417-022-00585-x.pdf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خلاصه-کارهای-باقیمانده"/>
    <w:p>
      <w:pPr>
        <w:pStyle w:val="Heading2"/>
      </w:pPr>
      <w:r>
        <w:t xml:space="preserve">خلاصهٔ کارهای باقی‌مانده</w:t>
      </w:r>
    </w:p>
    <w:p>
      <w:pPr>
        <w:pStyle w:val="FirstParagraph"/>
      </w:pPr>
      <w:r>
        <w:t xml:space="preserve">۱. دانلود پنج مقالهٔ «جدید» (Ozkul 2004؛ Pandey et al. 2012؛ مقالهٔ SEM-HHT تیر FG؛ Dai et al. 2013؛</w:t>
      </w:r>
      <w:r>
        <w:t xml:space="preserve"> </w:t>
      </w:r>
      <w:r>
        <w:t xml:space="preserve">Homayouni et al. 2022؛ Ghasemi et al. 2022) و افزودن آن‌ها به</w:t>
      </w:r>
      <w:r>
        <w:t xml:space="preserve"> </w:t>
      </w:r>
      <w:r>
        <w:rPr>
          <w:rStyle w:val="VerbatimChar"/>
        </w:rPr>
        <w:t xml:space="preserve">papers/</w:t>
      </w:r>
      <w:r>
        <w:t xml:space="preserve"> </w:t>
      </w:r>
      <w:r>
        <w:t xml:space="preserve">+ EndNote.</w:t>
      </w:r>
      <w:r>
        <w:t xml:space="preserve"> </w:t>
      </w:r>
      <w:r>
        <w:t xml:space="preserve">۲. تکمیلِ نامِ کاملِ نویسندگانِ مقالهٔ SEM-HHT (فقط از روی صفحهٔ MDPI در دسترس بود، جزئیات جلد/شماره</w:t>
      </w:r>
      <w:r>
        <w:t xml:space="preserve"> </w:t>
      </w:r>
      <w:r>
        <w:t xml:space="preserve">باید هنگام دانلود تأیید شود).</w:t>
      </w:r>
      <w:r>
        <w:t xml:space="preserve"> </w:t>
      </w:r>
      <w:r>
        <w:t xml:space="preserve">۳. ثبت شماره‌های ارجاعِ نهایی در فهرست منابعِ پایان‌نامه و به‌روزرسانیِ متنِ بخش‌های ۴-۱۸ تا ۴-۲۰ با</w:t>
      </w:r>
      <w:r>
        <w:t xml:space="preserve"> </w:t>
      </w:r>
      <w:r>
        <w:t xml:space="preserve">کروشه‌های جدید (طبق قاعدهٔ عدم‌ویرایشِ فایل‌های Rn — نسخهٔ بعدیِ فصل نتایج باید ساخته شود، نه ویرایشِ</w:t>
      </w:r>
      <w:r>
        <w:t xml:space="preserve"> </w:t>
      </w:r>
      <w:r>
        <w:t xml:space="preserve">RESULTS_CHAPTER_FA_R4.4.md).</w:t>
      </w:r>
    </w:p>
    <w:p>
      <w:pPr>
        <w:pStyle w:val="BodyText"/>
      </w:pPr>
      <w:r>
        <w:rPr>
          <w:i/>
          <w:iCs/>
        </w:rPr>
        <w:t xml:space="preserve">تاریخ تدوین: ۱۴۰۵/۰۷/۱۳ (۲۰۲۶-۱۰-۰۵) — بر اساس گفتگوی بررسیِ منابعِ بخش‌های ۴-۱۸/۴-۱۹/۴-۲۰.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2026-10-05T09:53:01Z</dcterms:created>
  <dcterms:modified xsi:type="dcterms:W3CDTF">2026-10-05T09:53:01Z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