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پیشنهادهای-متن-فصلهای-۱-تا-۵"/>
    <w:p>
      <w:pPr>
        <w:pStyle w:val="Heading1"/>
        <w:bidi/>
      </w:pPr>
      <w:r>
        <w:rPr>
          <w:rtl/>
        </w:rPr>
        <w:t xml:space="preserve">پیشنهادهای متن — فصل‏های ۱ تا ۵</w:t>
      </w:r>
    </w:p>
    <w:p>
      <w:pPr>
        <w:bidi/>
      </w:pPr>
      <w:r>
        <w:rPr>
          <w:rtl/>
        </w:rPr>
        <w:t xml:space="preserve">این فایل شامل متن‏های پیشنهادی برای بخش‏هایی از پایان‏نامه است که در نسخهٔ جدیدتر (فایل گوگل‏درایو) نسبت به نسخهٔ کامل‏تر مخزن کوتاه‏تر شده بودند. هر بخش دقیقاً مشخص می‏کند برای کجا نوشته شده است. زبان نوشتار عمداً ساده و مستقیم است.</w:t>
      </w:r>
    </w:p>
    <w:bookmarkStart w:id="9" w:name="X5619442256b79c3ad36220e4f5cbdc3416cf6c0"/>
    <w:p>
      <w:pPr>
        <w:pStyle w:val="Heading2"/>
        <w:bidi/>
      </w:pPr>
      <w:r>
        <w:rPr>
          <w:rtl/>
        </w:rPr>
        <w:t xml:space="preserve">فصل یکم — دو محدودیت و یک جمله دربارهٔ هندسه</w:t>
      </w:r>
    </w:p>
    <w:p>
      <w:pPr>
        <w:bidi/>
      </w:pPr>
      <w:r>
        <w:rPr>
          <w:b/>
          <w:bCs/>
          <w:rtl/>
        </w:rPr>
        <w:t xml:space="preserve">برای بخش ۱-۷ (محدودیت‏های پژوهش)، به‏عنوان مورد چهارم و پنجم:</w:t>
      </w:r>
    </w:p>
    <w:p>
      <w:pPr>
        <w:bidi/>
      </w:pPr>
      <w:r>
        <w:rPr>
          <w:rtl/>
        </w:rPr>
        <w:t xml:space="preserve">تقارن محوری. در این پژوهش فرض شده رفتار استوانه در تمام جهت‏های دور محیط آن یکسان است، یعنی تغییرات دما و تنش در راستای زاویهٔ دور استوانه در نظر گرفته نشده است. همچنین استوانه ساکن فرض شده و چرخش ندارد.</w:t>
      </w:r>
    </w:p>
    <w:p>
      <w:pPr>
        <w:bidi/>
      </w:pPr>
      <w:r>
        <w:rPr>
          <w:rtl/>
        </w:rPr>
        <w:t xml:space="preserve">ثابت‏بودنِ الگوهای تخلخل. الگوهای توزیع تخلخل در این پژوهش همان الگوهایی هستند که در برنامهٔ حل عددی پیاده‏سازی شده‏اند. بررسیِ الگوهای جدیدتر تخلخل به پژوهش‏های آینده واگذار شده است.</w:t>
      </w:r>
    </w:p>
    <w:p>
      <w:pPr>
        <w:bidi/>
      </w:pPr>
      <w:r>
        <w:rPr>
          <w:b/>
          <w:bCs/>
          <w:rtl/>
        </w:rPr>
        <w:t xml:space="preserve">برای بخش ۱-۳ (تعریف موضوع پژوهش)، به‏عنوان یک جملهٔ اضافه:</w:t>
      </w:r>
    </w:p>
    <w:p>
      <w:pPr>
        <w:bidi/>
      </w:pPr>
      <w:r>
        <w:rPr>
          <w:rtl/>
        </w:rPr>
        <w:t xml:space="preserve">به‏طور مشخص، هندسهٔ بررسی‏شده استوانه‏ای توخالی و چندلایه با شعاع داخلی ۱ متر، شعاع خارجی ۱.۵ متر (یعنی ضخامت جدارهٔ ۰.۵ متر)، طول ۲.۱ متر و ۷ لایه است.</w:t>
      </w:r>
    </w:p>
    <w:bookmarkEnd w:id="9"/>
    <w:bookmarkStart w:id="10" w:name="X9aa10117b7c0edfa29339c02ab356e28bc0e5ba"/>
    <w:p>
      <w:pPr>
        <w:pStyle w:val="Heading2"/>
        <w:bidi/>
      </w:pPr>
      <w:r>
        <w:rPr>
          <w:rtl/>
        </w:rPr>
        <w:t xml:space="preserve">فصل دوم — بخش پایانیِ ۲-۷ (جمع‏بندی و شکاف پژوهش)</w:t>
      </w:r>
    </w:p>
    <w:p>
      <w:pPr>
        <w:bidi/>
      </w:pPr>
      <w:r>
        <w:rPr>
          <w:rtl/>
        </w:rPr>
        <w:t xml:space="preserve">در بخش‏های قبل، نظریه‏های مختلف ترموالاستیسیته، رفتار استوانه‏های کامپوزیتی، بارگذاری ترمو-مکانیکی و مواد مرکب متخلخل تقویت‏شده با گرافن هرکدام جداگانه بررسی شدند. با این حال، پژوهشی که همهٔ این موارد را با هم در نظر بگیرد دیده نشد؛ یعنی ترکیب تئوری لرد-شولمن، استوانهٔ چندلایهٔ متخلخل تقویت‏شده با پلاکت‏های گرافنی، و نوع بارگذاری بررسی‏شده در این پایان‏نامه. این پایان‏نامه همین شکاف را پر می‏کند و این سه مورد را به‏طور هم‏زمان برای یک استوانهٔ توخالی چندلایه بررسی می‏کند.</w:t>
      </w:r>
    </w:p>
    <w:bookmarkEnd w:id="10"/>
    <w:bookmarkStart w:id="11" w:name="فصل-سوم-جمعبندی-پایانی-فصل"/>
    <w:p>
      <w:pPr>
        <w:pStyle w:val="Heading2"/>
        <w:bidi/>
      </w:pPr>
      <w:r>
        <w:rPr>
          <w:rtl/>
        </w:rPr>
        <w:t xml:space="preserve">فصل سوم — جمع‏بندیِ پایانیِ فصل</w:t>
      </w:r>
    </w:p>
    <w:p>
      <w:pPr>
        <w:bidi/>
      </w:pPr>
      <w:r>
        <w:rPr>
          <w:rtl/>
        </w:rPr>
        <w:t xml:space="preserve">در این فصل، ابتدا نحوهٔ محاسبهٔ خواص مؤثر لایه‏های تقویت‏شده با پلاکت‏های گرافنی و دارای تخلخل توضیح داده شد؛ برای این کار از روش هالپین-تسای، قانون مخلوط‏ها و نظریهٔ سلول‏های باز (برای در نظر گرفتن اثر تخلخل) استفاده شد. سپس معادلات حاکم بر رفتار ترموالاستیک استوانه نوشته شدند: رابطهٔ کرنش با جابجایی، رابطهٔ تنش با کرنش، معادلات حرکت و معادلهٔ انرژی نظریهٔ لرد-شولمن، به‏همراه شرایط مرزی، شرایط اولیه و شرایط سازگاری بین لایه‏ها. در ادامه، همهٔ این معادلات با روش دیفرانسیل کوادریچر در راستای شعاعی و محوری گسسته‏سازی شدند تا به یک دستگاه معادلات جبری تبدیل شوند. در نهایت، این دستگاه معادلات با روش نیومارک در طول زمان حل شد که جزئیات آن در پیوست آمده است.</w:t>
      </w:r>
    </w:p>
    <w:bookmarkEnd w:id="11"/>
    <w:bookmarkStart w:id="12" w:name="Xf45988ac0c4fb542413a58da161bed6a3fcdd93"/>
    <w:p>
      <w:pPr>
        <w:pStyle w:val="Heading2"/>
        <w:bidi/>
      </w:pPr>
      <w:r>
        <w:rPr>
          <w:rtl/>
        </w:rPr>
        <w:t xml:space="preserve">فصل چهارم — معرفی کمیت‏های بی‏بعد برای بخش ۴-۲</w:t>
      </w:r>
    </w:p>
    <w:p>
      <w:pPr>
        <w:bidi/>
      </w:pPr>
      <w:r>
        <w:rPr>
          <w:b/>
          <w:bCs/>
          <w:rtl/>
        </w:rPr>
        <w:t xml:space="preserve">چرا بی‏بعد می‏کنیم:</w:t>
      </w:r>
    </w:p>
    <w:p>
      <w:pPr>
        <w:bidi/>
      </w:pPr>
      <w:r>
        <w:rPr>
          <w:rtl/>
        </w:rPr>
        <w:t xml:space="preserve">برای این‏که بتوان نتایج این استوانه را با استوانه‏های دیگر (با اندازه یا زمان متفاوت) مقایسه کرد، اعداد را به‏صورت خام (مثلاً بر حسب متر یا ثانیه) گزارش نمی‏کنیم. در عوض هر کمیت را نسبت به یک مقدار مرجع مناسب می‏سنجیم و آن را «بی‏بعد» می‏کنیم. با این کار نتایج دیگر به ابعاد فیزیکی خاصِ این مسئله وابسته نیستند و می‏توان آن‏ها را با کارهای دیگران یا با حالت‏های دیگرِ همین مسئله به‏راحتی مقایسه کرد.</w:t>
      </w:r>
    </w:p>
    <w:p>
      <w:pPr>
        <w:bidi/>
      </w:pPr>
      <w:r>
        <w:rPr>
          <w:b/>
          <w:bCs/>
          <w:rtl/>
        </w:rPr>
        <w:t xml:space="preserve">کمیت‏های بی‏بعد: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زمان بی‏بعد (Fo، عدد فوریه): نشان می‏دهد از شروع گرمایش، گرما چقدر زمان داشته تا در ضخامت جداره نفوذ کند.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زمان تخفیف بی‏بعد (τ*): نسخهٔ بی‏بعدشدهٔ همان «زمان تأخیر» نظریهٔ لرد–شولمن است؛ هرچه بزرگ‏تر باشد، گرما دیرتر و به‏صورت موجی پخش می‏شود.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دمای بی‏بعد (T*): میزان بالارفتن دما نسبت به دمای اولیهٔ محیط را نشان می‏دهد.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مکان شعاعی بی‏بعد (ξ): صفر یعنی سطح داخلی، یک یعنی سطح خارجی.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جابجایی بی‏بعد (U*): میزان تغییرشکل جداره را نسبت به یک مقیاس طبیعی حرارتی نشان می‏دهد.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تنش بی‏بعد (Σ*): میزان تنش ایجادشده را نسبت به یک مقیاس طبیعی حرارتی نشان می‏دهد.</w:t>
      </w:r>
    </w:p>
    <w:p>
      <w:pPr>
        <w:bidi/>
      </w:pPr>
      <w:r>
        <w:rPr>
          <w:b/>
          <w:bCs/>
          <w:rtl/>
        </w:rPr>
        <w:t xml:space="preserve">جملهٔ مربوط به زمان رسیدن موج:</w:t>
      </w:r>
    </w:p>
    <w:p>
      <w:pPr>
        <w:bidi/>
      </w:pPr>
      <w:r>
        <w:rPr>
          <w:rtl/>
        </w:rPr>
        <w:t xml:space="preserve">چون در نظریهٔ لرد–شولمن گرما با سرعت محدود و به‏صورت موج حرکت می‏کند، هرچه زمان تأخیر (τ</w:t>
      </w:r>
      <w:r>
        <w:rPr>
          <w:i/>
          <w:iCs/>
          <w:rtl/>
        </w:rPr>
        <w:t xml:space="preserve">) بزرگ‏تر باشد، موج حرارتی دیرتر به سطح بیرونی جداره می‏رسد؛ در این مسئله با τ</w:t>
      </w:r>
      <w:r>
        <w:rPr>
          <w:rtl/>
        </w:rPr>
        <w:t xml:space="preserve"> </w:t>
      </w:r>
      <w:r>
        <w:rPr>
          <w:rtl/>
        </w:rPr>
        <w:t xml:space="preserve">= ۰.۱۵، موج حرارتی حدود ۱۰۸۰ ثانیه پس از شروع گرمایش (یعنی در Fo ≈ ۰.۳۹) برای اولین بار به سطح خارجی می‏رسد.</w:t>
      </w:r>
    </w:p>
    <w:bookmarkEnd w:id="12"/>
    <w:bookmarkStart w:id="13" w:name="فصل-پنجم-یک-محدودیت-و-دو-پیشنهاد-پژوهشی"/>
    <w:p>
      <w:pPr>
        <w:pStyle w:val="Heading2"/>
        <w:bidi/>
      </w:pPr>
      <w:r>
        <w:rPr>
          <w:rtl/>
        </w:rPr>
        <w:t xml:space="preserve">فصل پنجم — یک محدودیت و دو پیشنهاد پژوهشی</w:t>
      </w:r>
    </w:p>
    <w:p>
      <w:pPr>
        <w:bidi/>
      </w:pPr>
      <w:r>
        <w:rPr>
          <w:b/>
          <w:bCs/>
          <w:rtl/>
        </w:rPr>
        <w:t xml:space="preserve">برای بخش ۵-۴ (محدودیت‏های پژوهش):</w:t>
      </w:r>
    </w:p>
    <w:p>
      <w:pPr>
        <w:bidi/>
      </w:pPr>
      <w:r>
        <w:rPr>
          <w:rtl/>
        </w:rPr>
        <w:t xml:space="preserve">مقایسهٔ فراجهش موج صوت دوم — مهم‏ترین یافتهٔ این پژوهش — با نتایج باقری و اسلامی فقط به‏صورت کیفی (شباهت الگوی نمودارها) بوده و هیچ درصد خطای عددی برای آن گزارش نشده است.</w:t>
      </w:r>
    </w:p>
    <w:p>
      <w:pPr>
        <w:bidi/>
      </w:pPr>
      <w:r>
        <w:rPr>
          <w:b/>
          <w:bCs/>
          <w:rtl/>
        </w:rPr>
        <w:t xml:space="preserve">برای بخش ۵-۵ (پیشنهادها برای پژوهش‏های آینده):</w:t>
      </w:r>
    </w:p>
    <w:p>
      <w:pPr>
        <w:bidi/>
      </w:pPr>
      <w:r>
        <w:rPr>
          <w:rtl/>
        </w:rPr>
        <w:t xml:space="preserve">ساخت نمونهٔ فیزیکی از استوانهٔ چندلایه و آزمایش آن زیر شوک حرارتی واقعی، برای اندازه‏گیری مستقیم فراجهش موج و صحت‏سنجی کمّی مدل.</w:t>
      </w:r>
    </w:p>
    <w:p>
      <w:pPr>
        <w:bidi/>
      </w:pPr>
      <w:r>
        <w:rPr>
          <w:rtl/>
        </w:rPr>
        <w:t xml:space="preserve">تهیهٔ یک جدول یا نمودار سادهٔ مهندسی از ترکیب برتر این پژوهش (گرافن با الگوی V و تخلخل با الگوی A)، تا طراحان بدون اجرای کامل حل‏گر بتوانند از نتیجه استفاده کنند.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2026-08-29T01:18:16Z</dcterms:created>
  <dcterms:modified xsi:type="dcterms:W3CDTF">2026-08-29T01:18:16Z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