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8.png" ContentType="image/png"/>
  <Override PartName="/word/media/rId102.png" ContentType="image/png"/>
  <Override PartName="/word/media/rId106.png" ContentType="image/png"/>
  <Override PartName="/word/media/rId110.png" ContentType="image/png"/>
  <Override PartName="/word/media/rId50.png" ContentType="image/png"/>
  <Override PartName="/word/media/rId53.png" ContentType="image/png"/>
  <Override PartName="/word/media/rId69.png" ContentType="image/png"/>
  <Override PartName="/word/media/rId118.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2079671"/>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bw/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2079671"/>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bw/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2079671"/>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bw/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bw/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bw/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708431"/>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bw/A_GPL_patterns.png" id="34" name="Picture"/>
                    <pic:cNvPicPr>
                      <a:picLocks noChangeArrowheads="1" noChangeAspect="1"/>
                    </pic:cNvPicPr>
                  </pic:nvPicPr>
                  <pic:blipFill>
                    <a:blip r:embed="rId3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are small serrations at each of the six layer interfaces ξ = k/7 and, far more prominently, a single sharp spike in the outer part of the wall: a dip whose trough sits exactly on the fifth interface (ξ = 5/7 ≈ 0.71), followed by a crest just beyond it near ξ ≈ 0.75 that stands clearly above the surrounding profile — and this spike recurs at the same place in every T</w:t>
      </w:r>
      <w:r>
        <w:t xml:space="preserve">(ξ) profile of the chapter. Unlike the hoop-stress steps above, which are static and set by the stiffness jumps, this spike is the spatial trace of the Lord–Shulman second sound. In the generalized (hyperbolic) theory heat does not diffuse instantaneously but travels as a wave of finite speed c_T = √(α̂/τ₀); at any instant the thermal disturbance is concentrated at a sharp, near-discontinuous front, so the through-thickness temperature carries a localized pulse rather than the smooth, monotone decay that classical Fourier conduction would give — no such spike would appear under Fourier. The front sweeps outward and reflects from the inner and outer surfaces — the reason the mid-point temperature history (top-left panel of each figure) climbs in discrete steps rather than smoothly — and at the final observation time (Fo ≈ 1 for the reference relaxation τ* = 0.15) it is caught in the outer layers near ξ ≈ 0.75, which is why the spike sits there. Where the moving front crosses a layer interface the abrupt change of thermal impedance adds a small partial reflection, and these are the minor serrations it leaves at the inner interfaces it has already passed. Two observations confirm the feature is physical rather than numerical: it rides on the moving front, so its position shifts with the relaxation time τ* and with time, and it disappears entirely in the Fourier limit τ* → 0. The faint ringing on it is the bounded Gibbs oscillation inherent in representing a near-discontinuous front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bw/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bw/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bw/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bw/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297867"/>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bw/O_aspect_ab.png" id="52" name="Picture"/>
                    <pic:cNvPicPr>
                      <a:picLocks noChangeArrowheads="1" noChangeAspect="1"/>
                    </pic:cNvPicPr>
                  </pic:nvPicPr>
                  <pic:blipFill>
                    <a:blip r:embed="rId50"/>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bw/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bw/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bw/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297867"/>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bw/G_pressure.png" id="67" name="Picture"/>
                    <pic:cNvPicPr>
                      <a:picLocks noChangeArrowheads="1" noChangeAspect="1"/>
                    </pic:cNvPicPr>
                  </pic:nvPicPr>
                  <pic:blipFill>
                    <a:blip r:embed="rId6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bw/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97"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695073"/>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bw/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695073"/>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bw/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297867"/>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bw/gplpor_porUD.png" id="81" name="Picture"/>
                    <pic:cNvPicPr>
                      <a:picLocks noChangeArrowheads="1" noChangeAspect="1"/>
                    </pic:cNvPicPr>
                  </pic:nvPicPr>
                  <pic:blipFill>
                    <a:blip r:embed="rId79"/>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708431"/>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bw/gplpor_porO.png" id="84" name="Picture"/>
                    <pic:cNvPicPr>
                      <a:picLocks noChangeArrowheads="1" noChangeAspect="1"/>
                    </pic:cNvPicPr>
                  </pic:nvPicPr>
                  <pic:blipFill>
                    <a:blip r:embed="rId8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bw/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bw/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CaptionedFigure"/>
      </w:pPr>
      <w:r>
        <w:drawing>
          <wp:inline>
            <wp:extent cx="5334000" cy="3708431"/>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bw/gplpor_porA.png" id="93" name="Picture"/>
                    <pic:cNvPicPr>
                      <a:picLocks noChangeArrowheads="1" noChangeAspect="1"/>
                    </pic:cNvPicPr>
                  </pic:nvPicPr>
                  <pic:blipFill>
                    <a:blip r:embed="rId9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4-23: GPL pattern comparison (UD, O, X, V, A) at A-type porosity [R_i=1, R_o=1.5, L=2.1 m, N_L=7, W_GPL=0.3%, e_m3=0.8604, A porosity, τ*=0.15, P_i=50 MPa, simply supported]</w:t>
      </w:r>
    </w:p>
    <w:p>
      <w:pPr>
        <w:pStyle w:val="BodyText"/>
      </w:pPr>
      <w:r>
        <w:t xml:space="preserve">Read side by side, the five per-porosity figures separate the two mechanisms cleanly. In every background the ordering of the GPL patterns by outer-surface temperature is the same — V the coolest, then O, then UD and X, with A the hottest — which shows that the graphene pattern and the porosity pattern act through largely independent channels: the graphene sets how quickly heat is conducted across the thickness, while the porosity sets how much of it is blocked near the outer wall. What changes from one figure to the next is the spread between the five curves. Against the uniform (UD) or inner-concentrated (V) porosities the curves stay bunched, because those pore distributions do little to impede the outward heat flow, so the choice of graphene pattern matters least there. Against the outer-concentrated porosity-A the curves fan apart and every one of them falls to a very low outer-surface temperature, because the outer pore barrier and a conductive inner graphene layer reinforce one another — this is the background on which the graphene pattern pays off most. The hoop-stress profiles follow the same logic: the gentlest interface staircases belong to the GPL-V backgrounds, where the stiff conductive phase sits exactly where the temperature gradient is steepest, while the steepest jumps appear for the inner-concentrated porosity-V, which piles both the thermal load and the compliant, pore-rich material at the heated inner surface.</w:t>
      </w:r>
    </w:p>
    <w:p>
      <w:pPr>
        <w:pStyle w:val="BodyText"/>
      </w:pPr>
      <w:r>
        <w:t xml:space="preserve">To distil the interaction into a single view, Figure 4-24 draws the extreme combinations together against the UD-UD reference. In thermal terms the best case is V-A (outer-surface T* = 0.034) and the worst is A-UD (0.896); in mechanical terms, measured by the inner-surface hoop stress as in Section 4-5, the best case is again V-A (a mild compressive −0.38) and the worst is X-V (4.15). Because V-A is optimal on both counts, the second-best mechanical case O-A (−0.37, which is also the second-best thermal case at T* = 0.064) is added as the next practical option. The figure makes the design trade-off explicit: the porosity-A combinations V-A and O-A minimize both the outer-surface temperature and the inner-surface stress, whereas X-V is thermally mild but by far the most highly stressed of all twenty-five combinations.</w:t>
      </w:r>
    </w:p>
    <w:p>
      <w:pPr>
        <w:pStyle w:val="BodyText"/>
      </w:pPr>
      <w:r>
        <w:rPr>
          <w:b/>
          <w:bCs/>
        </w:rPr>
        <w:t xml:space="preserve">4-24</w:t>
      </w:r>
    </w:p>
    <w:p>
      <w:pPr>
        <w:pStyle w:val="CaptionedFigure"/>
      </w:pPr>
      <w:r>
        <w:drawing>
          <wp:inline>
            <wp:extent cx="5334000" cy="3708431"/>
            <wp:effectExtent b="0" l="0" r="0" t="0"/>
            <wp:docPr descr="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 title="" id="95" name="Picture"/>
            <a:graphic>
              <a:graphicData uri="http://schemas.openxmlformats.org/drawingml/2006/picture">
                <pic:pic>
                  <pic:nvPicPr>
                    <pic:cNvPr descr="figures_ch4_bw/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w:t>
      </w:r>
    </w:p>
    <w:p>
      <w:pPr>
        <w:pStyle w:val="BodyText"/>
      </w:pPr>
      <w:r>
        <w:t xml:space="preserve">Read as a design chart, Figure 4-24 marks the corners of the achievable envelope. The two porosity-A cases V-A and O-A occupy the favourable corner: both hold the outer surface below T* = 0.07 and keep the inner-surface hoop stress mildly compressive, so they are the natural choice wherever thermal protection is the objective and the slightly larger radial displacement they carry is acceptable. The worst-thermal case A-UD sits at the opposite corner — a conductive-outer graphene layer with no outer pore barrier lets the heat reach the outer wall almost unimpeded. The worst-mechanical case X-V is the cautionary one: it is only moderately hot, so a temperature-only screening would pass it, yet the combination of a stiff X-graphene skeleton with an inner-concentrated porosity drives the hoop stress to 4.20 — nearly twice the reference and the largest of all twenty-five combinations — a reminder that the pattern pair must be checked for stress as well as for temperature. The reference UD-UD lies in the interior of the chart, unremarkable thermally but, with the lowest peak stress, a safe mechanical baseline. The practical conclusion is that an outer-concentrated porosity-A paired with an inner-rich graphene pattern (V or O) is the recommended design for internal thermal shock, whereas any pairing of a stiff graphene pattern with an inner-concentrated porosity should be avoided.</w:t>
      </w:r>
    </w:p>
    <w:bookmarkEnd w:id="97"/>
    <w:bookmarkStart w:id="101" w:name="effect-of-the-coupling-of-the-equations"/>
    <w:p>
      <w:pPr>
        <w:pStyle w:val="Heading2"/>
      </w:pPr>
      <w:r>
        <w:t xml:space="preserve">4-14. Effect of the coupling of the equations</w:t>
      </w:r>
    </w:p>
    <w:p>
      <w:pPr>
        <w:pStyle w:val="FirstParagraph"/>
      </w:pPr>
      <w:r>
        <w:rPr>
          <w:b/>
          <w:bCs/>
        </w:rPr>
        <w:t xml:space="preserve">4-25</w:t>
      </w:r>
    </w:p>
    <w:p>
      <w:pPr>
        <w:pStyle w:val="CaptionedFigure"/>
      </w:pPr>
      <w:r>
        <w:drawing>
          <wp:inline>
            <wp:extent cx="5334000" cy="3708431"/>
            <wp:effectExtent b="0" l="0" r="0" t="0"/>
            <wp:docPr descr="Figure 4-25: Effect of thermo-mechanical coupling — fully coupled versus uncoupled energy equation [R_o/R_i=1.5, L=2.1 m, N_L=7, W_GPL=0.3%, e_m3=0.8604, τ*=0.15, P_i=50 MPa, simply supported]" title="" id="99" name="Picture"/>
            <a:graphic>
              <a:graphicData uri="http://schemas.openxmlformats.org/drawingml/2006/picture">
                <pic:pic>
                  <pic:nvPicPr>
                    <pic:cNvPr descr="figures_ch4_bw/I_coupling.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thermo-mechanical coupling — fully coupled versus uncoupled energy equation [R_o/R_i=1.5, L=2.1 m, N_L=7, W_GPL=0.3%, e_m3=0.8604, τ*=0.15, P_i=50 MPa, simply supported]</w:t>
      </w:r>
    </w:p>
    <w:p>
      <w:pPr>
        <w:pStyle w:val="BodyText"/>
      </w:pPr>
      <w:r>
        <w:t xml:space="preserve">Figure 4-25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101"/>
    <w:bookmarkStart w:id="105" w:name="Xb006e1994140170e308a706d86645cac631d9cb"/>
    <w:p>
      <w:pPr>
        <w:pStyle w:val="Heading2"/>
      </w:pPr>
      <w:r>
        <w:t xml:space="preserve">4-15. Effect of the outer-surface convection coefficient</w:t>
      </w:r>
    </w:p>
    <w:p>
      <w:pPr>
        <w:pStyle w:val="FirstParagraph"/>
      </w:pPr>
      <w:r>
        <w:rPr>
          <w:b/>
          <w:bCs/>
        </w:rPr>
        <w:t xml:space="preserve">4-26</w:t>
      </w:r>
    </w:p>
    <w:p>
      <w:pPr>
        <w:pStyle w:val="CaptionedFigure"/>
      </w:pPr>
      <w:r>
        <w:drawing>
          <wp:inline>
            <wp:extent cx="5334000" cy="3708431"/>
            <wp:effectExtent b="0" l="0" r="0" t="0"/>
            <wp:docPr descr="Figure 4-26: Effect of the outer-surface convection coefficient h_c = 10 / 100 / 1000 W/m²K [R_o/R_i=1.5, L=2.1 m, N_L=7, W_GPL=0.3%, e_m3=0.8604, τ*=0.15, P_i=50 MPa, simply supported]" title="" id="103" name="Picture"/>
            <a:graphic>
              <a:graphicData uri="http://schemas.openxmlformats.org/drawingml/2006/picture">
                <pic:pic>
                  <pic:nvPicPr>
                    <pic:cNvPr descr="figures_ch4_bw/J_convection.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4-26: Effect of the outer-surface convection coefficient h_c = 10 / 100 / 1000 W/m²K [R_o/R_i=1.5, L=2.1 m, N_L=7, W_GPL=0.3%, e_m3=0.8604, τ*=0.15, P_i=50 MPa, simply supported]</w:t>
      </w:r>
    </w:p>
    <w:p>
      <w:pPr>
        <w:pStyle w:val="BodyText"/>
      </w:pPr>
      <w:r>
        <w:t xml:space="preserve">Figure 4-26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5"/>
    <w:bookmarkStart w:id="109" w:name="effect-of-the-wall-thickness"/>
    <w:p>
      <w:pPr>
        <w:pStyle w:val="Heading2"/>
      </w:pPr>
      <w:r>
        <w:t xml:space="preserve">4-16. Effect of the wall thickness</w:t>
      </w:r>
    </w:p>
    <w:p>
      <w:pPr>
        <w:pStyle w:val="FirstParagraph"/>
      </w:pPr>
      <w:r>
        <w:rPr>
          <w:b/>
          <w:bCs/>
        </w:rPr>
        <w:t xml:space="preserve">4-27</w:t>
      </w:r>
    </w:p>
    <w:p>
      <w:pPr>
        <w:pStyle w:val="CaptionedFigure"/>
      </w:pPr>
      <w:r>
        <w:drawing>
          <wp:inline>
            <wp:extent cx="5334000" cy="3297867"/>
            <wp:effectExtent b="0" l="0" r="0" t="0"/>
            <wp:docPr descr="Figure 4-27: Effect of the wall thickness, radius ratio R_o/R_i = 1.25 / 1.5 / 2.0 (inner radius fixed at 1 m) [L=2.1 m, N_L=7, W_GPL=0.3%, e_m3=0.8604, τ*=0.15, P_i=50 MPa, simply supported]" title="" id="107" name="Picture"/>
            <a:graphic>
              <a:graphicData uri="http://schemas.openxmlformats.org/drawingml/2006/picture">
                <pic:pic>
                  <pic:nvPicPr>
                    <pic:cNvPr descr="figures_ch4_bw/K_thickness.png" id="108" name="Picture"/>
                    <pic:cNvPicPr>
                      <a:picLocks noChangeArrowheads="1" noChangeAspect="1"/>
                    </pic:cNvPicPr>
                  </pic:nvPicPr>
                  <pic:blipFill>
                    <a:blip r:embed="rId106"/>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4-27: Effect of the wall thickness, radius ratio R_o/R_i = 1.25 / 1.5 / 2.0 (inner radius fixed at 1 m) [L=2.1 m, N_L=7, W_GPL=0.3%, e_m3=0.8604, τ*=0.15, P_i=50 MPa, simply supported]</w:t>
      </w:r>
    </w:p>
    <w:p>
      <w:pPr>
        <w:pStyle w:val="BodyText"/>
      </w:pPr>
      <w:r>
        <w:t xml:space="preserve">Figure 4-27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9"/>
    <w:bookmarkStart w:id="113" w:name="response-to-a-gaussian-thermal-shock"/>
    <w:p>
      <w:pPr>
        <w:pStyle w:val="Heading2"/>
      </w:pPr>
      <w:r>
        <w:t xml:space="preserve">4-17. Response to a Gaussian thermal shock</w:t>
      </w:r>
    </w:p>
    <w:p>
      <w:pPr>
        <w:pStyle w:val="FirstParagraph"/>
      </w:pPr>
      <w:r>
        <w:rPr>
          <w:b/>
          <w:bCs/>
        </w:rPr>
        <w:t xml:space="preserve">4-28</w:t>
      </w:r>
    </w:p>
    <w:p>
      <w:pPr>
        <w:pStyle w:val="CaptionedFigure"/>
      </w:pPr>
      <w:r>
        <w:drawing>
          <wp:inline>
            <wp:extent cx="5334000" cy="3708431"/>
            <wp:effectExtent b="0" l="0" r="0" t="0"/>
            <wp:docPr descr="Figure 4-28: Response to a Gaussian thermal shock — Lord–Shulman versus Fourier [R_o/R_i=1.5, L=2.1 m, N_L=7, W_GPL=0.3%, e_m3=0.8604, P_i=50 MPa, simply supported]" title="" id="111" name="Picture"/>
            <a:graphic>
              <a:graphicData uri="http://schemas.openxmlformats.org/drawingml/2006/picture">
                <pic:pic>
                  <pic:nvPicPr>
                    <pic:cNvPr descr="figures_ch4_bw/M_gauss_shock.png" id="112" name="Picture"/>
                    <pic:cNvPicPr>
                      <a:picLocks noChangeArrowheads="1" noChangeAspect="1"/>
                    </pic:cNvPicPr>
                  </pic:nvPicPr>
                  <pic:blipFill>
                    <a:blip r:embed="rId11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4-28).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13"/>
    <w:bookmarkStart w:id="114"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4"/>
    <w:bookmarkStart w:id="121"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with the slope −2 reference line — second-order convergence, along which the error falls as N⁻² so that halving the node spacing quarters the error;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p>
      <w:pPr>
        <w:pStyle w:val="BodyText"/>
      </w:pPr>
      <w:r>
        <w:t xml:space="preserve">Figure 4-29 plots the maximum error of each method against the number of radial nodes N on logarithmic axes, together with the dotted slope −2 reference line.</w:t>
      </w:r>
    </w:p>
    <w:p>
      <w:pPr>
        <w:pStyle w:val="BodyText"/>
      </w:pPr>
      <w:r>
        <w:rPr>
          <w:b/>
          <w:bCs/>
        </w:rPr>
        <w:t xml:space="preserve">4-29</w:t>
      </w:r>
    </w:p>
    <w:p>
      <w:pPr>
        <w:pStyle w:val="BodyText"/>
      </w:pPr>
      <w:r>
        <w:drawing>
          <wp:inline>
            <wp:extent cx="5334000" cy="3828753"/>
            <wp:effectExtent b="0" l="0" r="0" t="0"/>
            <wp:docPr descr="Figure 4-29: Spatial-discretization convergence on the transient-conduction benchmark: maximum error versus number of radial nodes N for DQM (Chebyshev and uniform), 2nd-order FDM, and linear/quadratic FEM; the dotted line marks slope -2 (second-order convergence)" title="" id="116" name="Picture"/>
            <a:graphic>
              <a:graphicData uri="http://schemas.openxmlformats.org/drawingml/2006/picture">
                <pic:pic>
                  <pic:nvPicPr>
                    <pic:cNvPr descr="figures_ch4_bw/spatial_convergence.png" id="117" name="Picture"/>
                    <pic:cNvPicPr>
                      <a:picLocks noChangeArrowheads="1" noChangeAspect="1"/>
                    </pic:cNvPicPr>
                  </pic:nvPicPr>
                  <pic:blipFill>
                    <a:blip r:embed="rId115"/>
                    <a:stretch>
                      <a:fillRect/>
                    </a:stretch>
                  </pic:blipFill>
                  <pic:spPr bwMode="auto">
                    <a:xfrm>
                      <a:off x="0" y="0"/>
                      <a:ext cx="5334000" cy="3828753"/>
                    </a:xfrm>
                    <a:prstGeom prst="rect">
                      <a:avLst/>
                    </a:prstGeom>
                    <a:noFill/>
                    <a:ln w="9525">
                      <a:noFill/>
                      <a:headEnd/>
                      <a:tailEnd/>
                    </a:ln>
                  </pic:spPr>
                </pic:pic>
              </a:graphicData>
            </a:graphic>
          </wp:inline>
        </w:drawing>
      </w:r>
      <w:r>
        <w:t xml:space="preserve"> </w:t>
      </w:r>
      <w:r>
        <w:t xml:space="preserve">## 4-20. Comparison of the generalized thermoelasticity theories</w:t>
      </w:r>
    </w:p>
    <w:p>
      <w:pPr>
        <w:pStyle w:val="BodyText"/>
      </w:pPr>
      <w:r>
        <w:rPr>
          <w:b/>
          <w:bCs/>
        </w:rPr>
        <w:t xml:space="preserve">4-30</w:t>
      </w:r>
    </w:p>
    <w:p>
      <w:pPr>
        <w:pStyle w:val="CaptionedFigure"/>
      </w:pPr>
      <w:r>
        <w:drawing>
          <wp:inline>
            <wp:extent cx="5334000" cy="3708431"/>
            <wp:effectExtent b="0" l="0" r="0" t="0"/>
            <wp:docPr descr="Figure 4-30: Comparison of the generalized thermoelasticity theories — Fourier, Lord–Shulman, dual-phase-lag and Green–Naghdi III [R_o/R_i=1.5, L=2.1 m, N_L=7, W_GPL=0.3%, e_m3=0.8604, τ*=0.15, P_i=50 MPa, simply supported]" title="" id="119" name="Picture"/>
            <a:graphic>
              <a:graphicData uri="http://schemas.openxmlformats.org/drawingml/2006/picture">
                <pic:pic>
                  <pic:nvPicPr>
                    <pic:cNvPr descr="figures_ch4_bw/T3_theories.png" id="120" name="Picture"/>
                    <pic:cNvPicPr>
                      <a:picLocks noChangeArrowheads="1" noChangeAspect="1"/>
                    </pic:cNvPicPr>
                  </pic:nvPicPr>
                  <pic:blipFill>
                    <a:blip r:embed="rId11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4-30: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4-30,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21"/>
    <w:bookmarkStart w:id="122"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8" Target="media/rId1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2026-08-04T12:30:08Z</dcterms:created>
  <dcterms:modified xsi:type="dcterms:W3CDTF">2026-08-04T12:30:08Z</dcterms:modified>
</cp:coreProperties>
</file>

<file path=docProps/custom.xml><?xml version="1.0" encoding="utf-8"?>
<Properties xmlns="http://schemas.openxmlformats.org/officeDocument/2006/custom-properties" xmlns:vt="http://schemas.openxmlformats.org/officeDocument/2006/docPropsVTypes"/>
</file>