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68.png" ContentType="image/png"/>
  <Override PartName="/word/media/rId72.png" ContentType="image/png"/>
  <Override PartName="/word/media/rId59.png" ContentType="image/png"/>
  <Override PartName="/word/media/rId49.png" ContentType="image/png"/>
  <Override PartName="/word/media/rId44.png" ContentType="image/png"/>
  <Override PartName="/word/media/rId53.png" ContentType="image/png"/>
  <Override PartName="/word/media/rId63.png" ContentType="image/png"/>
  <Override PartName="/word/media/rId34.png" ContentType="image/png"/>
  <Override PartName="/word/media/rId88.png" ContentType="image/png"/>
  <Override PartName="/word/media/rId92.png" ContentType="image/png"/>
  <Override PartName="/word/media/rId84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80.png" ContentType="image/png"/>
  <Override PartName="/word/media/rId96.png" ContentType="image/png"/>
  <Override PartName="/word/media/rId76.png" ContentType="image/png"/>
  <Override PartName="/word/media/rId117.png" ContentType="image/png"/>
  <Override PartName="/word/media/rId121.png" ContentType="image/png"/>
  <Override PartName="/word/media/image3.gif" ContentType="image/gif"/>
  <Override PartName="/word/media/image2.gif" ContentType="image/gif"/>
  <Override PartName="/word/media/image1.jpeg" ContentType="image/jpeg"/>
  <Override PartName="/word/media/image4.jpeg" ContentType="image/jpeg"/>
  <Override PartName="/word/media/image5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تحلیل ترموالاستیک استوانه‌های متخلخلِ تقویت‌شده با پلاکت‌های گرافنی تحت بارِ ترمو-مکانیکی با استفاده از تئوری لرد-شولمن</w:t>
      </w:r>
    </w:p>
    <w:p>
      <w:pPr>
        <w:pStyle w:val="Author"/>
      </w:pPr>
      <w:r>
        <w:t xml:space="preserve">نگارنده: ‹نام دانشجو› | استاد راهنما: ‹نام استاد راهنما›</w:t>
      </w:r>
    </w:p>
    <w:p>
      <w:pPr>
        <w:pStyle w:val="Date"/>
      </w:pPr>
      <w:r>
        <w:t xml:space="preserve">‹نام دانشگاه و دانشکده› — ‹تاریخ دفاع›</w:t>
      </w:r>
    </w:p>
    <w:bookmarkStart w:id="28" w:name="فهرست-مطالب"/>
    <w:p>
      <w:pPr>
        <w:pStyle w:val="Heading1"/>
      </w:pPr>
      <w:r>
        <w:t xml:space="preserve">فهرست مطالب</w:t>
      </w:r>
    </w:p>
    <w:p>
      <w:pPr>
        <w:pStyle w:val="Compact"/>
        <w:numPr>
          <w:ilvl w:val="0"/>
          <w:numId w:val="1001"/>
        </w:numPr>
      </w:pPr>
      <w:r>
        <w:t xml:space="preserve">بیان مسئله و هدف پژوهش</w:t>
      </w:r>
    </w:p>
    <w:p>
      <w:pPr>
        <w:pStyle w:val="Compact"/>
        <w:numPr>
          <w:ilvl w:val="0"/>
          <w:numId w:val="1001"/>
        </w:numPr>
      </w:pPr>
      <w:r>
        <w:t xml:space="preserve">پیشینهٔ پژوهش: تئوری‌ها، سازه‌های مدرج، مواد متخلخل، ترموالاستیسیتهٔ تعمیم‌یافته</w:t>
      </w:r>
    </w:p>
    <w:p>
      <w:pPr>
        <w:pStyle w:val="Compact"/>
        <w:numPr>
          <w:ilvl w:val="0"/>
          <w:numId w:val="1001"/>
        </w:numPr>
      </w:pPr>
      <w:r>
        <w:t xml:space="preserve">شکاف تحقیقاتی و جایگاه پژوهش</w:t>
      </w:r>
    </w:p>
    <w:p>
      <w:pPr>
        <w:pStyle w:val="Compact"/>
        <w:numPr>
          <w:ilvl w:val="0"/>
          <w:numId w:val="1001"/>
        </w:numPr>
      </w:pPr>
      <w:r>
        <w:t xml:space="preserve">مدل‌سازی: هندسه، مواد و الگوها</w:t>
      </w:r>
    </w:p>
    <w:p>
      <w:pPr>
        <w:pStyle w:val="Compact"/>
        <w:numPr>
          <w:ilvl w:val="0"/>
          <w:numId w:val="1001"/>
        </w:numPr>
      </w:pPr>
      <w:r>
        <w:t xml:space="preserve">معادلات حاکم و روش حل عددی</w:t>
      </w:r>
    </w:p>
    <w:p>
      <w:pPr>
        <w:pStyle w:val="Compact"/>
        <w:numPr>
          <w:ilvl w:val="0"/>
          <w:numId w:val="1001"/>
        </w:numPr>
      </w:pPr>
      <w:r>
        <w:t xml:space="preserve">صحت‌سنجی و همگرایی</w:t>
      </w:r>
    </w:p>
    <w:p>
      <w:pPr>
        <w:pStyle w:val="Compact"/>
        <w:numPr>
          <w:ilvl w:val="0"/>
          <w:numId w:val="1001"/>
        </w:numPr>
      </w:pPr>
      <w:r>
        <w:t xml:space="preserve">نتایج و بحث</w:t>
      </w:r>
    </w:p>
    <w:p>
      <w:pPr>
        <w:pStyle w:val="Compact"/>
        <w:numPr>
          <w:ilvl w:val="0"/>
          <w:numId w:val="1001"/>
        </w:numPr>
      </w:pPr>
      <w:r>
        <w:t xml:space="preserve">نوآوری‌ها، نتیجه‌گیری و پیشنهادها</w:t>
      </w:r>
    </w:p>
    <w:bookmarkEnd w:id="28"/>
    <w:bookmarkStart w:id="29" w:name="X0cdc5442f9b682b5e81326a6a69cd076f1c3465"/>
    <w:p>
      <w:pPr>
        <w:pStyle w:val="Heading1"/>
      </w:pPr>
      <w:r>
        <w:t xml:space="preserve">استوانه‌های جدارضخیم: سازه‌ای پرکاربرد در معرض بارهای حرارتی سریع</w:t>
      </w:r>
    </w:p>
    <w:p>
      <w:pPr>
        <w:pStyle w:val="Compact"/>
        <w:numPr>
          <w:ilvl w:val="0"/>
          <w:numId w:val="1002"/>
        </w:numPr>
      </w:pPr>
      <w:r>
        <w:t xml:space="preserve">سیلندرها استوانه‌هایی توخالی و معمولاً جدارضخیم‌اند و بارهای محوری، برشی، پیچشی، خمشی، هیدرواستاتیک و هیدرودینامیک را تحمل می‌کنند.</w:t>
      </w:r>
    </w:p>
    <w:p>
      <w:pPr>
        <w:pStyle w:val="Compact"/>
        <w:numPr>
          <w:ilvl w:val="0"/>
          <w:numId w:val="1002"/>
        </w:numPr>
      </w:pPr>
      <w:r>
        <w:t xml:space="preserve">کاربرد: مخازن نگهداری و انتقال سیال، فضاپیماها، رآکتورهای هسته‌ای، مبدل‌های حرارتی.</w:t>
      </w:r>
    </w:p>
    <w:p>
      <w:pPr>
        <w:pStyle w:val="Compact"/>
        <w:numPr>
          <w:ilvl w:val="0"/>
          <w:numId w:val="1002"/>
        </w:numPr>
      </w:pPr>
      <w:r>
        <w:t xml:space="preserve">این اجزا اغلب در معرض بارهای حرارتیِ سریع و شدید قرار می‌گیرند.</w:t>
      </w:r>
    </w:p>
    <w:p>
      <w:pPr>
        <w:pStyle w:val="Compact"/>
        <w:numPr>
          <w:ilvl w:val="0"/>
          <w:numId w:val="1002"/>
        </w:numPr>
      </w:pPr>
      <w:r>
        <w:t xml:space="preserve">پیش‌بینی دقیق دما و تنش‌های حرارتیِ گذرا برای ایمنی و طول عمر سازه حیاتی است.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۱، بندهای ۱-۱ و ۱-۶. با کاربردهای ملموس شروع کنید؛ هنوز وارد نظریه نشوید.</w:t>
      </w:r>
    </w:p>
    <w:bookmarkEnd w:id="29"/>
    <w:bookmarkStart w:id="30" w:name="X0c32acbd162a5ff8aa8b2d3a832e7a268632509"/>
    <w:p>
      <w:pPr>
        <w:pStyle w:val="Heading1"/>
      </w:pPr>
      <w:r>
        <w:t xml:space="preserve">مواد نوین: گرافن برای استحکام، تخلخل برای سبکی و عایق‌بودن</w:t>
      </w:r>
    </w:p>
    <w:p>
      <w:pPr>
        <w:pStyle w:val="Compact"/>
        <w:numPr>
          <w:ilvl w:val="0"/>
          <w:numId w:val="1003"/>
        </w:numPr>
      </w:pPr>
      <w:r>
        <w:t xml:space="preserve">نانولوله‌های کربنی (۱۹۹۱) و گرافن (۲۰۰۴): استحکام و مدول بسیار زیاد، رسانش الکتریکی و حرارتی عالی [۱].</w:t>
      </w:r>
    </w:p>
    <w:p>
      <w:pPr>
        <w:pStyle w:val="Compact"/>
        <w:numPr>
          <w:ilvl w:val="0"/>
          <w:numId w:val="1003"/>
        </w:numPr>
      </w:pPr>
      <w:r>
        <w:t xml:space="preserve">نانوکامپوزیت‌های گرافنی از کامپوزیت‌های نانولوله و نانوگرافیت خواص مکانیکی بهتری نشان داده‌اند؛ سطح تماس زیاد، انتقال بار را بهبود می‌دهد.</w:t>
      </w:r>
    </w:p>
    <w:p>
      <w:pPr>
        <w:pStyle w:val="Compact"/>
        <w:numPr>
          <w:ilvl w:val="0"/>
          <w:numId w:val="1003"/>
        </w:numPr>
      </w:pPr>
      <w:r>
        <w:t xml:space="preserve">مواد متخلخل: سبک، جاذب انرژی، با سطح ویژهٔ زیاد و مقاوم در برابر حرارت؛ اما تخلخل استحکام را کم می‌کند.</w:t>
      </w:r>
    </w:p>
    <w:p>
      <w:pPr>
        <w:pStyle w:val="Compact"/>
        <w:numPr>
          <w:ilvl w:val="0"/>
          <w:numId w:val="1003"/>
        </w:numPr>
      </w:pPr>
      <w:r>
        <w:t xml:space="preserve">افزودن ورقه‌های گرافنی به مادهٔ متخلخل یکی از راه‌های جبران این افت است [۲].</w:t>
      </w:r>
    </w:p>
    <w:p>
      <w:pPr>
        <w:pStyle w:val="Compact"/>
        <w:numPr>
          <w:ilvl w:val="0"/>
          <w:numId w:val="1003"/>
        </w:numPr>
      </w:pPr>
      <w:r>
        <w:t xml:space="preserve">ترکیب این دو در ماده‌ای مدرجِ لایه‌ای، توزیع هدفمند ماده در ضخامت را ممکن می‌کند.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۱، بندهای ۱-۱ و ۱-۶.</w:t>
      </w:r>
    </w:p>
    <w:bookmarkEnd w:id="30"/>
    <w:bookmarkStart w:id="31" w:name="X5b779a8c334d68b79af471160f109e29e61f97a"/>
    <w:p>
      <w:pPr>
        <w:pStyle w:val="Heading1"/>
      </w:pPr>
      <w:r>
        <w:t xml:space="preserve">مسئله: پاسخ ترموالاستیک گذرا؛ انتخاب مدل هدایت و الگوی ماده</w:t>
      </w:r>
    </w:p>
    <w:p>
      <w:pPr>
        <w:pStyle w:val="Compact"/>
        <w:numPr>
          <w:ilvl w:val="0"/>
          <w:numId w:val="1004"/>
        </w:numPr>
      </w:pPr>
      <w:r>
        <w:t xml:space="preserve">قانون فوریه سرعت انتشار حرارت را نامحدود می‌گیرد؛ در بارهای حرارتی پیچیده مانند شوک حرارتی و بار انفجاری دقت کافی ندارد [۳].</w:t>
      </w:r>
    </w:p>
    <w:p>
      <w:pPr>
        <w:pStyle w:val="Compact"/>
        <w:numPr>
          <w:ilvl w:val="0"/>
          <w:numId w:val="1004"/>
        </w:numPr>
      </w:pPr>
      <w:r>
        <w:t xml:space="preserve">تئوری‌های غیرممزوج، دما و جابجایی را مستقل حساب می‌کنند.</w:t>
      </w:r>
    </w:p>
    <w:p>
      <w:pPr>
        <w:pStyle w:val="Compact"/>
        <w:numPr>
          <w:ilvl w:val="0"/>
          <w:numId w:val="1004"/>
        </w:numPr>
      </w:pPr>
      <w:r>
        <w:t xml:space="preserve">برای دقت بیشتر، تئوری‌های تعمیم‌یافته و ممزوج معرفی شده‌اند؛ یکی از آن‌ها تئوری لرد–شولمن (۱۹۶۷) با زمان تخفیف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است [۴].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مسئلهٔ این پژوهش:</w:t>
      </w:r>
      <w:r>
        <w:t xml:space="preserve"> </w:t>
      </w:r>
      <w:r>
        <w:t xml:space="preserve">توزیع دما، تنش، کرنش و جابجایی در استوانهٔ متخلخلِ تقویت‌شده با پلاکت‌های گرافنی تحت بار ترمو-مکانیکی.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۱، بندهای ۱-۱ (بند چهارم) و ۱-۳. لرد–شولمن را فقط یکی از تئوری‌های تعمیم‌یافته معرفی کنید؛ مقایسهٔ تئوری‌ها در پیشینه و در نتیجهٔ ۷ می‌آید.</w:t>
      </w:r>
    </w:p>
    <w:bookmarkEnd w:id="31"/>
    <w:bookmarkStart w:id="32" w:name="هدف-و-پرسشهای-پژوهش"/>
    <w:p>
      <w:pPr>
        <w:pStyle w:val="Heading1"/>
      </w:pPr>
      <w:r>
        <w:t xml:space="preserve">هدف و پرسش‌های پژوهش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هدف:</w:t>
      </w:r>
      <w:r>
        <w:t xml:space="preserve"> </w:t>
      </w:r>
      <w:r>
        <w:t xml:space="preserve">تحلیل ترموالاستیک استوانهٔ توخالیِ متخلخل تقویت‌شده با پلاکت‌های گرافنی تحت بار ترمو-مکانیکی، برای الگوهای مختلف گرافن و تخلخل در ضخامت.</w:t>
      </w:r>
    </w:p>
    <w:p>
      <w:pPr>
        <w:pStyle w:val="Compact"/>
        <w:numPr>
          <w:ilvl w:val="0"/>
          <w:numId w:val="1005"/>
        </w:numPr>
      </w:pPr>
      <w:r>
        <w:t xml:space="preserve">پاسخ دما، تنش و جابجایی با سرعت متناهی موج حرارتی چه تفاوتی با هدایت فوریه دارد؟</w:t>
      </w:r>
    </w:p>
    <w:p>
      <w:pPr>
        <w:pStyle w:val="Compact"/>
        <w:numPr>
          <w:ilvl w:val="0"/>
          <w:numId w:val="1005"/>
        </w:numPr>
      </w:pPr>
      <w:r>
        <w:t xml:space="preserve">الگوی گرافن و الگو و شدت تخلخل چگونه بر بیشینهٔ دما، تنش و جابجایی اثر می‌گذارند؟</w:t>
      </w:r>
    </w:p>
    <w:p>
      <w:pPr>
        <w:pStyle w:val="Compact"/>
        <w:numPr>
          <w:ilvl w:val="0"/>
          <w:numId w:val="1005"/>
        </w:numPr>
      </w:pPr>
      <w:r>
        <w:t xml:space="preserve">برهم‌کنش هم‌زمان دو الگو هم‌افزاست یا خنثی‌کننده؟</w:t>
      </w:r>
    </w:p>
    <w:p>
      <w:pPr>
        <w:pStyle w:val="Compact"/>
        <w:numPr>
          <w:ilvl w:val="0"/>
          <w:numId w:val="1005"/>
        </w:numPr>
      </w:pPr>
      <w:r>
        <w:t xml:space="preserve">اثر کسر وزنی، نسبت ابعادی، زمان تخفیف، تکیه‌گاه، فشار و ضخامت بر پاسخ گذرا چیست؟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۱، بند ۱-۴. این چهار پرسش را در بخش نتایج دوباره به‌ترتیب پاسخ می‌دهید.</w:t>
      </w:r>
    </w:p>
    <w:bookmarkEnd w:id="32"/>
    <w:bookmarkStart w:id="33" w:name="X8334c016054ffeb37eaaaabbb286a52913d52c3"/>
    <w:p>
      <w:pPr>
        <w:pStyle w:val="Heading1"/>
      </w:pPr>
      <w:r>
        <w:t xml:space="preserve">پیشینه ۱: تئوری‌های تحلیل استوانه — از پوسته تا الاستیسیتهٔ سه‌بعدی</w:t>
      </w:r>
    </w:p>
    <w:p>
      <w:pPr>
        <w:pStyle w:val="Compact"/>
        <w:numPr>
          <w:ilvl w:val="0"/>
          <w:numId w:val="1006"/>
        </w:numPr>
      </w:pPr>
      <w:r>
        <w:t xml:space="preserve">تئوری‌های پوسته و ورق: کلاسیک، برشی مرتبهٔ اول و مراتب بالا [۵].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کلاسیک:</w:t>
      </w:r>
      <w:r>
        <w:t xml:space="preserve"> </w:t>
      </w:r>
      <w:r>
        <w:t xml:space="preserve">از کرنش عمودی و برش عرضی صرف‌نظر می‌کند؛ با افزایش ضخامت دقتش کم می‌شود.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برشی مرتبهٔ اول:</w:t>
      </w:r>
      <w:r>
        <w:t xml:space="preserve"> </w:t>
      </w:r>
      <w:r>
        <w:t xml:space="preserve">برش عرضی و اینرسی چرخشی را وارد می‌کند اما کرنش برشی را ثابت می‌گیرد (ضریب تصحیح برشی)؛ مراتب بالاتر جملات بیشتری نگه می‌دارند.</w:t>
      </w:r>
    </w:p>
    <w:p>
      <w:pPr>
        <w:pStyle w:val="Compact"/>
        <w:numPr>
          <w:ilvl w:val="0"/>
          <w:numId w:val="1006"/>
        </w:numPr>
      </w:pPr>
      <w:r>
        <w:t xml:space="preserve">مزیت پوسته‌ها: حجم محاسباتی کم؛ ضعف: افت دقت در ضخامت زیاد و در رفتار محلی.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راه‌حل:</w:t>
      </w:r>
      <w:r>
        <w:t xml:space="preserve"> </w:t>
      </w:r>
      <w:r>
        <w:t xml:space="preserve">الاستیسیتهٔ سه‌بعدی و ترموالاستیسیتهٔ سه‌بعدی — جابجایی، تنش و کرنش در هر نقطه.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۲-۲. این اسلاید توجیه می‌کند چرا مسئله را در صفحهٔ (r,z) و نه با تئوری پوسته حل کرده‌اید.</w:t>
      </w:r>
    </w:p>
    <w:bookmarkEnd w:id="33"/>
    <w:bookmarkStart w:id="37" w:name="پیشینه-۲-خانواده-تئوریهای-ترموالاستیسیته"/>
    <w:p>
      <w:pPr>
        <w:pStyle w:val="Heading1"/>
      </w:pPr>
      <w:r>
        <w:t xml:space="preserve">پیشینه ۲: خانوادهٔ تئوری‌های ترموالاستیسیته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کلاسیک</w:t>
      </w:r>
      <w:r>
        <w:t xml:space="preserve"> </w:t>
      </w:r>
      <w:r>
        <w:t xml:space="preserve">(فوریه، سرعت موج نامحدود): غیرممزوج و ممزوج.</w:t>
      </w:r>
      <w:r>
        <w:t xml:space="preserve"> </w:t>
      </w:r>
      <w:r>
        <w:rPr>
          <w:b/>
          <w:bCs/>
        </w:rPr>
        <w:t xml:space="preserve">تعمیم‌یافته</w:t>
      </w:r>
      <w:r>
        <w:t xml:space="preserve"> </w:t>
      </w:r>
      <w:r>
        <w:t xml:space="preserve">(هذلولوی، سرعت موج متناهی، «صوت دوم»): لرد–شولمن، گرین–لیندزی، گرین–نقدی، تأخیر دوفازی.</w:t>
      </w:r>
    </w:p>
    <w:p>
      <w:pPr>
        <w:pStyle w:val="Compact"/>
        <w:numPr>
          <w:ilvl w:val="0"/>
          <w:numId w:val="1007"/>
        </w:numPr>
      </w:pPr>
      <w:r>
        <w:t xml:space="preserve">مرور جامع: شاکری‌اسکی و همکاران (۲۰۲۱) [۷۸].</w:t>
      </w:r>
    </w:p>
    <w:p>
      <w:pPr>
        <w:pStyle w:val="FirstParagraph"/>
      </w:pPr>
      <w:r>
        <w:drawing>
          <wp:inline>
            <wp:extent cx="5029200" cy="18705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figures_ch123/theory_taxonom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870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شکل ۲-۱ پایان‌نامه. فقط جایگاه نظریه‌ها را نشان دهید؛ دربارهٔ برتری هیچ‌کدام صحبت نکنید.</w:t>
      </w:r>
    </w:p>
    <w:bookmarkEnd w:id="37"/>
    <w:bookmarkStart w:id="38" w:name="Xb1053209cdfa729b937f55b1e42dbdba1cd1169"/>
    <w:p>
      <w:pPr>
        <w:pStyle w:val="Heading1"/>
      </w:pPr>
      <w:r>
        <w:t xml:space="preserve">پیشینه ۳: استوانه، کره، مخروط و دیسکِ مدرج و کامپوزیتی</w:t>
      </w:r>
    </w:p>
    <w:p>
      <w:pPr>
        <w:pStyle w:val="Compact"/>
        <w:numPr>
          <w:ilvl w:val="0"/>
          <w:numId w:val="1008"/>
        </w:numPr>
      </w:pPr>
      <w:r>
        <w:t xml:space="preserve">پلتیر و ول (۲۰۰۶)، جباری و همکاران (۲۰۰۶): حل دقیق و تحلیلیِ پوسته و استوانهٔ مدرج تابعی (بسل و انتگرال فوریه) [۸، ۹].</w:t>
      </w:r>
    </w:p>
    <w:p>
      <w:pPr>
        <w:pStyle w:val="Compact"/>
        <w:numPr>
          <w:ilvl w:val="0"/>
          <w:numId w:val="1008"/>
        </w:numPr>
      </w:pPr>
      <w:r>
        <w:t xml:space="preserve">چن و لین (۲۰۰۸)، پنگ و لی (۲۰۱۰): تنش در استوانه و کرهٔ مدرج؛ بار ترمو-مکانیکی با انتگرال‌گیری عددی [۱۰، ۱۱].</w:t>
      </w:r>
    </w:p>
    <w:p>
      <w:pPr>
        <w:pStyle w:val="Compact"/>
        <w:numPr>
          <w:ilvl w:val="0"/>
          <w:numId w:val="1008"/>
        </w:numPr>
      </w:pPr>
      <w:r>
        <w:t xml:space="preserve">ملک‌زاده و همکاران (۲۰۱۲): استوانهٔ مدرج تحت بار حرارتی متحرک با هدایت هذلولوی [۱۲]؛ بورلاینکو و همکاران (۲۰۱۷): اجزای محدود [۱۴].</w:t>
      </w:r>
    </w:p>
    <w:p>
      <w:pPr>
        <w:pStyle w:val="Compact"/>
        <w:numPr>
          <w:ilvl w:val="0"/>
          <w:numId w:val="1008"/>
        </w:numPr>
      </w:pPr>
      <w:r>
        <w:t xml:space="preserve">علی‌بیگ‌لو (۲۰۲۰)، هوانگ و همکاران (۲۰۲۱): استوانه و پانل تقویت‌شده با پلاکت‌های گرافنی؛ اثر کسر وزنی، الگو و ابعاد [۱۶، ۱۸].</w:t>
      </w:r>
    </w:p>
    <w:p>
      <w:pPr>
        <w:pStyle w:val="Compact"/>
        <w:numPr>
          <w:ilvl w:val="0"/>
          <w:numId w:val="1008"/>
        </w:numPr>
      </w:pPr>
      <w:r>
        <w:t xml:space="preserve">ژانگ و همکاران (۲۰۲۰)، شیا و همکاران (۲۰۲۲): دیسک حلقوی مدرج با DQM و نیومارک [۱۷، ۲۱]؛ الفار و همکاران (۲۰۲۳): آزمایش شوک حرارتی [۲۰].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۲-۳. نام‌ها را مرور سریع بگویید؛ پیام: روش‌ها متنوع‌اند و DQM + نیومارک در این خانواده سابقه دارد.</w:t>
      </w:r>
    </w:p>
    <w:bookmarkEnd w:id="38"/>
    <w:bookmarkStart w:id="39" w:name="Xda8a80a37008e9ef2668ba83d76d0c7f8fa9352"/>
    <w:p>
      <w:pPr>
        <w:pStyle w:val="Heading1"/>
      </w:pPr>
      <w:r>
        <w:t xml:space="preserve">پیشینه ۴: استوانه تحت بار ترمو-مکانیکی و نقش روش DQM</w:t>
      </w:r>
    </w:p>
    <w:p>
      <w:pPr>
        <w:pStyle w:val="Compact"/>
        <w:numPr>
          <w:ilvl w:val="0"/>
          <w:numId w:val="1009"/>
        </w:numPr>
      </w:pPr>
      <w:r>
        <w:t xml:space="preserve">هفت‌چناری و درویزه (۲۰۰۷): DQM با شبکهٔ کم‌گره و دقت بالا [۲۳]؛ حیدرپور و همکاران (۲۰۱۲): استوانهٔ مدرج دوار با خواص وابسته به دما [۲۸].</w:t>
      </w:r>
    </w:p>
    <w:p>
      <w:pPr>
        <w:pStyle w:val="Compact"/>
        <w:numPr>
          <w:ilvl w:val="0"/>
          <w:numId w:val="1009"/>
        </w:numPr>
      </w:pPr>
      <w:r>
        <w:t xml:space="preserve">ملک‌زاده و همکاران (۲۰۱۲): پاسخ گذرای پوستهٔ چندلایه با DQM در مکان و</w:t>
      </w:r>
      <w:r>
        <w:t xml:space="preserve"> </w:t>
      </w:r>
      <w:r>
        <w:rPr>
          <w:b/>
          <w:bCs/>
        </w:rPr>
        <w:t xml:space="preserve">نیومارک</w:t>
      </w:r>
      <w:r>
        <w:t xml:space="preserve"> </w:t>
      </w:r>
      <w:r>
        <w:t xml:space="preserve">در زمان [۳۱]؛ ملک‌زاده و حیدرپور (۲۰۱۲): بار متحرک با هدایت هذلولوی [۳۲].</w:t>
      </w:r>
    </w:p>
    <w:p>
      <w:pPr>
        <w:pStyle w:val="Compact"/>
        <w:numPr>
          <w:ilvl w:val="0"/>
          <w:numId w:val="1009"/>
        </w:numPr>
      </w:pPr>
      <w:r>
        <w:t xml:space="preserve">ینگ و وانگ (۲۰۱۰): شوک حرارتی غیریکنواخت [۲۷]؛ کانلیکاما و همکاران (۲۰۱۳): استوانه تحت فشار داخلی [۳۵]؛ نجیبی و طالبی‌توتی (۲۰۱۷): خواص غیرخطی وابسته به دما [۳۹].</w:t>
      </w:r>
    </w:p>
    <w:p>
      <w:pPr>
        <w:pStyle w:val="Compact"/>
        <w:numPr>
          <w:ilvl w:val="0"/>
          <w:numId w:val="1009"/>
        </w:numPr>
      </w:pPr>
      <w:r>
        <w:t xml:space="preserve">دانشجو و طالبی‌توتی (۲۰۱۴): DQM لایه‌ای؛ دقت و همگرایی سریع [۳۶].</w:t>
      </w:r>
    </w:p>
    <w:p>
      <w:pPr>
        <w:pStyle w:val="Compact"/>
        <w:numPr>
          <w:ilvl w:val="0"/>
          <w:numId w:val="1009"/>
        </w:numPr>
      </w:pPr>
      <w:r>
        <w:t xml:space="preserve">حیدرپور و همکاران (۲۰۲۰): پوستهٔ تقویت‌شده با گرافن، بار ترمو-مکانیکی دینامیکی [۴۶]؛ رحیمی و همکاران (۲۰۲۰): تحلیل سه‌بعدی استوانهٔ متخلخل گرافنی با هالپین–تسای [۴۷].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۲-۴. تأکید: ترکیب «DQM لایه‌ای + نیومارک» که در این پایان‌نامه به‌کار رفته، روشی جاافتاده است [۳۱، ۳۶].</w:t>
      </w:r>
    </w:p>
    <w:bookmarkEnd w:id="39"/>
    <w:bookmarkStart w:id="40" w:name="Xa43a810581b77d6440f8bb287e84d436cda4097"/>
    <w:p>
      <w:pPr>
        <w:pStyle w:val="Heading1"/>
      </w:pPr>
      <w:r>
        <w:t xml:space="preserve">پیشینه ۵: مواد مرکب متخلخل تقویت‌شده با گرافن</w:t>
      </w:r>
    </w:p>
    <w:p>
      <w:pPr>
        <w:pStyle w:val="Compact"/>
        <w:numPr>
          <w:ilvl w:val="0"/>
          <w:numId w:val="1010"/>
        </w:numPr>
      </w:pPr>
      <w:r>
        <w:t xml:space="preserve">یاس و رحیمی (۲۰۲۰): کمانش حرارتی تیر؛ تخلخل دمای بحرانی را کم و گرافن مقاومت را زیاد می‌کند. مدل سلول‌باز این کار، مبنای مدل تخلخل پژوهش حاضر است [۵۱].</w:t>
      </w:r>
    </w:p>
    <w:p>
      <w:pPr>
        <w:pStyle w:val="Compact"/>
        <w:numPr>
          <w:ilvl w:val="0"/>
          <w:numId w:val="1010"/>
        </w:numPr>
      </w:pPr>
      <w:r>
        <w:t xml:space="preserve">مرادی‌دستجردی و بهدینان (۲۰۲۱): تنش در استوانهٔ جدارضخیم مدرج متخلخل گرافنی در حالت پایا [۵۲]؛ سلمانی و همکاران (۲۰۲۱): پس‌کمانش پوستهٔ استوانه‌ای [۵۳].</w:t>
      </w:r>
    </w:p>
    <w:p>
      <w:pPr>
        <w:pStyle w:val="Compact"/>
        <w:numPr>
          <w:ilvl w:val="0"/>
          <w:numId w:val="1010"/>
        </w:numPr>
      </w:pPr>
      <w:r>
        <w:t xml:space="preserve">بابایی و همکاران (۲۰۲۲): مخروط ناقص دوار تحت بار حرارتی گذرا؛ گرافن جابجایی را کم و تخلخل آن را زیاد می‌کند [۵۵].</w:t>
      </w:r>
    </w:p>
    <w:p>
      <w:pPr>
        <w:pStyle w:val="Compact"/>
        <w:numPr>
          <w:ilvl w:val="0"/>
          <w:numId w:val="1010"/>
        </w:numPr>
      </w:pPr>
      <w:r>
        <w:t xml:space="preserve">چو (۲۰۲۳)، ژانگ و همکاران (۲۰۲۳): پانل استوانه‌ای؛ پاسخ به مقدار و الگوی توزیع گرافن و تخلخل بسیار وابسته است؛ تبدیل کسر وزنی به حجمی [۵۷، ۵۸، ۶۰].</w:t>
      </w:r>
    </w:p>
    <w:p>
      <w:pPr>
        <w:pStyle w:val="Compact"/>
        <w:numPr>
          <w:ilvl w:val="0"/>
          <w:numId w:val="1010"/>
        </w:numPr>
      </w:pPr>
      <w:r>
        <w:t xml:space="preserve">هوانگ و همکاران (۲۰۲۴)، جمشیدی و عارف (۲۰۲۴)، سیتلی و همکاران (۲۰۲۴): کمانش مخروط، رفتار الاستیک استوانه، خمش تیر [۶۱–۶۳].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۲-۵. نکتهٔ مشترک: الگوی توزیع گرافن و تخلخل در همهٔ این کارها اثر تعیین‌کننده دارد، و بیشترشان مکانیکی یا حرارتی پایا هستند.</w:t>
      </w:r>
    </w:p>
    <w:bookmarkEnd w:id="40"/>
    <w:bookmarkStart w:id="41" w:name="X4fa90080d363f9100b1c06a4c196180b9c71a50"/>
    <w:p>
      <w:pPr>
        <w:pStyle w:val="Heading1"/>
      </w:pPr>
      <w:r>
        <w:t xml:space="preserve">پیشینه ۶: ترموالاستیسیتهٔ تعمیم‌یافته در سازه‌های مدرج</w:t>
      </w:r>
    </w:p>
    <w:p>
      <w:pPr>
        <w:pStyle w:val="Compact"/>
        <w:numPr>
          <w:ilvl w:val="0"/>
          <w:numId w:val="1011"/>
        </w:numPr>
      </w:pPr>
      <w:r>
        <w:t xml:space="preserve">باهتویی و اسلامی (۲۰۰۷): پوستهٔ استوانه‌ای مدرج تحت شوک حرارتی؛ مقایسهٔ لرد–شولمن و گرین–لیندزی (اجزای محدود + لاپلاس) [۶۴، ۶۵].</w:t>
      </w:r>
    </w:p>
    <w:p>
      <w:pPr>
        <w:pStyle w:val="Compact"/>
        <w:numPr>
          <w:ilvl w:val="0"/>
          <w:numId w:val="1011"/>
        </w:numPr>
      </w:pPr>
      <w:r>
        <w:t xml:space="preserve">بگری و اسلامی (۲۰۰۸): دیسک حلقوی مدرج با لرد–شولمن [۶۶]؛ حسینی و ابول‌بشری (۲۰۱۲): موج ترموالاستیک در استوانه با گرین–نقدی [۶۷].</w:t>
      </w:r>
    </w:p>
    <w:p>
      <w:pPr>
        <w:pStyle w:val="Compact"/>
        <w:numPr>
          <w:ilvl w:val="0"/>
          <w:numId w:val="1011"/>
        </w:numPr>
      </w:pPr>
      <w:r>
        <w:t xml:space="preserve">حیدرپور و ملک‌زاده (۲۰۱۹): کرهٔ مدرج چندلایه با لرد–شولمن، DQM لایه‌ای + نیومارک [۶۸]؛ حیدرپور و همکاران (۲۰۱۹): پوستهٔ کروی گرافنی — نزدیک‌ترین کار به چارچوب پژوهش حاضر [۳].</w:t>
      </w:r>
    </w:p>
    <w:p>
      <w:pPr>
        <w:pStyle w:val="Compact"/>
        <w:numPr>
          <w:ilvl w:val="0"/>
          <w:numId w:val="1011"/>
        </w:numPr>
      </w:pPr>
      <w:r>
        <w:t xml:space="preserve">حیدرپور و همکاران (۲۰۲۰): پوستهٔ استوانه‌ای با لایهٔ پیزوالکتریک (قرارداد بی‌بعدسازی فصل ۴) [۶۹]؛ مخروط ناقص گرافنی دوار (مبنای معادلات فصل ۳) [۷۰].</w:t>
      </w:r>
    </w:p>
    <w:p>
      <w:pPr>
        <w:pStyle w:val="Compact"/>
        <w:numPr>
          <w:ilvl w:val="0"/>
          <w:numId w:val="1011"/>
        </w:numPr>
      </w:pPr>
      <w:r>
        <w:t xml:space="preserve">حسینی (۲۰۲۱، ۲۰۲۲)، کاظمی و همکاران (۲۰۲۳): انتشار موج حرارتی با گرین–نقدی در استوانه و فراماده [۷۱–۷۳].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۲-۶. مرجع‌های نزدیک را نام ببرید: [۳]، [۶۸]، [۷۰]. اگر داور پرسید «تفاوت شما با کار حیدرپور چیست؟» پاسخ در اسلاید بعد است.</w:t>
      </w:r>
    </w:p>
    <w:bookmarkEnd w:id="41"/>
    <w:bookmarkStart w:id="42" w:name="جمعبندی-پیشینه-چهار-شکاف-پژوهشی"/>
    <w:p>
      <w:pPr>
        <w:pStyle w:val="Heading1"/>
      </w:pPr>
      <w:r>
        <w:t xml:space="preserve">جمع‌بندی پیشینه: چهار شکاف پژوهشی</w:t>
      </w:r>
    </w:p>
    <w:p>
      <w:pPr>
        <w:pStyle w:val="Compact"/>
        <w:numPr>
          <w:ilvl w:val="0"/>
          <w:numId w:val="1012"/>
        </w:numPr>
      </w:pPr>
      <w:r>
        <w:t xml:space="preserve">سه شاخه جداگانه بالغ شده‌اند: ترموالاستیک استوانه‌های کامپوزیتی، مدل‌سازی مواد متخلخل گرافنی و تئوری‌های تعمیم‌یافته؛ بررسی هم‌زمانشان به‌ندرت انجام شده است.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۱.</w:t>
      </w:r>
      <w:r>
        <w:t xml:space="preserve"> </w:t>
      </w:r>
      <w:r>
        <w:t xml:space="preserve">کارهای گذرا اغلب بر تئوری پوسته‌اند؛ حل کاملاً دوبعدی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برای استوانهٔ جدارضخیم کمتر به‌کار رفته است.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۲.</w:t>
      </w:r>
      <w:r>
        <w:t xml:space="preserve"> </w:t>
      </w:r>
      <w:r>
        <w:t xml:space="preserve">تحلیل‌های استوانهٔ متخلخل گرافنی عمدتاً مکانیکی یا حرارتیِ پایا و بر پایهٔ فوریه‌اند.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۳.</w:t>
      </w:r>
      <w:r>
        <w:t xml:space="preserve"> </w:t>
      </w:r>
      <w:r>
        <w:t xml:space="preserve">کارهای لرد–شولمن با DQM لایه‌ای و نیومارک بر کره، مخروط ناقص یا پوسته‌اند؛ استوانهٔ جدارضخیم چندلایه با گرافن و تخلخل هم‌زمان پوشش داده نشده است.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۴.</w:t>
      </w:r>
      <w:r>
        <w:t xml:space="preserve"> </w:t>
      </w:r>
      <w:r>
        <w:t xml:space="preserve">برهم‌کنش کاملِ الگوهای گرافن و تخلخل (ماتریس ۵×۵) و مقایسهٔ نظریه‌ها در یک مسئلهٔ استوانه‌ای گزارش نشده است.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۲-۷. «تا آنجا که در این مرور بررسی شد» را بگویید؛ ادعای مطلق نکنید.</w:t>
      </w:r>
    </w:p>
    <w:bookmarkEnd w:id="42"/>
    <w:bookmarkStart w:id="43" w:name="جایگاه-پژوهش-حاضر-در-ادبیات"/>
    <w:p>
      <w:pPr>
        <w:pStyle w:val="Heading1"/>
      </w:pPr>
      <w:r>
        <w:t xml:space="preserve">جایگاه پژوهش حاضر در ادبیات</w:t>
      </w:r>
    </w:p>
    <w:p>
      <w:pPr>
        <w:pStyle w:val="Compact"/>
        <w:numPr>
          <w:ilvl w:val="0"/>
          <w:numId w:val="1013"/>
        </w:numPr>
      </w:pPr>
      <w:r>
        <w:t xml:space="preserve">تحلیل ترموالاستیک گذرا و کاملاً ممزوج برای استوانهٔ توخالیِ جدارضخیمِ چندلایهٔ متخلخل تقویت‌شده با گرافن.</w:t>
      </w:r>
    </w:p>
    <w:p>
      <w:pPr>
        <w:pStyle w:val="Compact"/>
        <w:numPr>
          <w:ilvl w:val="0"/>
          <w:numId w:val="1013"/>
        </w:numPr>
      </w:pPr>
      <w:r>
        <w:t xml:space="preserve">خواص مؤثر: هالپین–تسای، قاعدهٔ مخلوط‌ها و مدل سلول‌باز.</w:t>
      </w:r>
    </w:p>
    <w:p>
      <w:pPr>
        <w:pStyle w:val="Compact"/>
        <w:numPr>
          <w:ilvl w:val="0"/>
          <w:numId w:val="1013"/>
        </w:numPr>
      </w:pPr>
      <w:r>
        <w:t xml:space="preserve">معادلات به‌صورت دوبعدی در صفحهٔ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و بدون تحویل به فرضیات پوسته.</w:t>
      </w:r>
    </w:p>
    <w:p>
      <w:pPr>
        <w:pStyle w:val="Compact"/>
        <w:numPr>
          <w:ilvl w:val="0"/>
          <w:numId w:val="1013"/>
        </w:numPr>
      </w:pPr>
      <w:r>
        <w:t xml:space="preserve">گسسته‌سازی: DQM لایه‌ای (گره‌های چبیشف–گاوس–لوباتو) در مکان و نیومارک در زمان.</w:t>
      </w:r>
    </w:p>
    <w:p>
      <w:pPr>
        <w:pStyle w:val="Compact"/>
        <w:numPr>
          <w:ilvl w:val="0"/>
          <w:numId w:val="1013"/>
        </w:numPr>
      </w:pPr>
      <w:r>
        <w:t xml:space="preserve">گرافن و تخلخل، هر یک در پنج الگوی UD، O، X، V و A.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منبع: فصل ۲، بند ۲-۷ (بند پایانی). هر مورد این فهرست یکی از شکاف‌های اسلاید قبل را پاسخ می‌دهد.</w:t>
      </w:r>
    </w:p>
    <w:bookmarkEnd w:id="43"/>
    <w:bookmarkStart w:id="47" w:name="X1a3eea8fe1f9506e17a9bf5c240dae08b4c5958"/>
    <w:p>
      <w:pPr>
        <w:pStyle w:val="Heading1"/>
      </w:pPr>
      <w:r>
        <w:t xml:space="preserve">استوانهٔ توخالیِ هفت‌لایه با خواص متغیر در ضخامت</w:t>
      </w:r>
    </w:p>
    <w:p>
      <w:pPr>
        <w:pStyle w:val="FirstParagraph"/>
      </w:pPr>
      <w:r>
        <w:drawing>
          <wp:inline>
            <wp:extent cx="5029200" cy="264981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ures_ch123/geometry_schematic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4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حالت-مرجع-و-شرایط-مرزی"/>
    <w:p>
      <w:pPr>
        <w:pStyle w:val="Heading1"/>
      </w:pPr>
      <w:r>
        <w:t xml:space="preserve">حالت مرجع و شرایط مرزی</w:t>
      </w:r>
    </w:p>
    <w:p>
      <w:pPr>
        <w:pStyle w:val="Compact"/>
        <w:numPr>
          <w:ilvl w:val="0"/>
          <w:numId w:val="1014"/>
        </w:numPr>
      </w:pPr>
      <w:r>
        <w:t xml:space="preserve">ابعاد: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m،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m، طول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2.1</m:t>
        </m:r>
      </m:oMath>
      <w:r>
        <w:t xml:space="preserve"> </w:t>
      </w:r>
      <w:r>
        <w:t xml:space="preserve">m.</w:t>
      </w:r>
    </w:p>
    <w:p>
      <w:pPr>
        <w:pStyle w:val="Compact"/>
        <w:numPr>
          <w:ilvl w:val="0"/>
          <w:numId w:val="1014"/>
        </w:numPr>
      </w:pPr>
      <w:r>
        <w:t xml:space="preserve">حرارت: سطح داخلی</w:t>
      </w:r>
      <w:r>
        <w:t xml:space="preserve"> </w:t>
      </w:r>
      <m:oMath>
        <m:r>
          <m:t>300</m:t>
        </m:r>
        <m:r>
          <m:rPr>
            <m:sty m:val="p"/>
          </m:rPr>
          <m:t>→</m:t>
        </m:r>
        <m:r>
          <m:t>600</m:t>
        </m:r>
      </m:oMath>
      <w:r>
        <w:t xml:space="preserve"> </w:t>
      </w:r>
      <w:r>
        <w:t xml:space="preserve">K؛ سطح خارجی همرفت با</w:t>
      </w:r>
      <w: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W/m²K.</w:t>
      </w:r>
    </w:p>
    <w:p>
      <w:pPr>
        <w:pStyle w:val="Compact"/>
        <w:numPr>
          <w:ilvl w:val="0"/>
          <w:numId w:val="1014"/>
        </w:numPr>
      </w:pPr>
      <w:r>
        <w:t xml:space="preserve">مکانیک: فشار داخلی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MPa؛ انتهاها تکیه‌گاه ساده و عایق.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0.15</m:t>
        </m:r>
      </m:oMath>
      <w:r>
        <w:t xml:space="preserve"> </w:t>
      </w:r>
      <w:r>
        <w:t xml:space="preserve">(معادل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418</m:t>
        </m:r>
      </m:oMath>
      <w:r>
        <w:t xml:space="preserve"> </w:t>
      </w:r>
      <w:r>
        <w:t xml:space="preserve">s)؛ زمان کل ۳۰۰۰ ثانیه.</w:t>
      </w:r>
    </w:p>
    <w:p>
      <w:pPr>
        <w:pStyle w:val="Compact"/>
        <w:numPr>
          <w:ilvl w:val="0"/>
          <w:numId w:val="1014"/>
        </w:numPr>
      </w:pPr>
      <w:r>
        <w:t xml:space="preserve">خواص:</w:t>
      </w:r>
      <w:r>
        <w:t xml:space="preserve"> </w:t>
      </w:r>
      <w:r>
        <w:rPr>
          <w:b/>
          <w:bCs/>
        </w:rPr>
        <w:t xml:space="preserve">هالپین-تسای</w:t>
      </w:r>
      <w:r>
        <w:t xml:space="preserve"> </w:t>
      </w:r>
      <w:r>
        <w:t xml:space="preserve">+ قانون مخلوط‌ها؛ تخلخل:</w:t>
      </w:r>
      <w:r>
        <w:t xml:space="preserve"> </w:t>
      </w:r>
      <w:r>
        <w:rPr>
          <w:b/>
          <w:bCs/>
        </w:rPr>
        <w:t xml:space="preserve">سلول باز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تأکید: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پارامتر بی‌بعدِ اصلی است؛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418</m:t>
        </m:r>
      </m:oMath>
      <w:r>
        <w:t xml:space="preserve"> </w:t>
      </w:r>
      <w:r>
        <w:t xml:space="preserve">s مقیاس‌گذاریِ جدارهٔ ۰٫۵ متری است، نه خاصیتِ اندازه‌گیری‌شدهٔ یک ماده. اگر پرسیدند، بگویید این یک مطالعهٔ پارامتریِ بی‌بعد است.</w:t>
      </w:r>
    </w:p>
    <w:bookmarkEnd w:id="48"/>
    <w:bookmarkStart w:id="52" w:name="پنج-الگوی-توزیع-گرافن-در-ضخامت"/>
    <w:p>
      <w:pPr>
        <w:pStyle w:val="Heading1"/>
      </w:pPr>
      <w:r>
        <w:t xml:space="preserve">پنج الگوی توزیع گرافن در ضخامت</w:t>
      </w:r>
    </w:p>
    <w:p>
      <w:pPr>
        <w:pStyle w:val="FirstParagraph"/>
      </w:pPr>
      <w:r>
        <w:drawing>
          <wp:inline>
            <wp:extent cx="5029200" cy="388875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./figures_ch123/GPL_patterns_schematic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888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پنج-الگوی-توزیع-تخلخل-در-ضخامت"/>
    <w:p>
      <w:pPr>
        <w:pStyle w:val="Heading1"/>
      </w:pPr>
      <w:r>
        <w:t xml:space="preserve">پنج الگوی توزیع تخلخل در ضخامت</w:t>
      </w:r>
    </w:p>
    <w:p>
      <w:pPr>
        <w:pStyle w:val="FirstParagraph"/>
      </w:pPr>
      <w:r>
        <w:drawing>
          <wp:inline>
            <wp:extent cx="5029200" cy="34036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../figures_ch123/porosity_patterns_schemati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تأکید کنید V و A آینهٔ یکدیگرند — این نکته بعداً در یافتهٔ هم‌افزایی کلیدی می‌شود.</w:t>
      </w:r>
    </w:p>
    <w:bookmarkEnd w:id="56"/>
    <w:bookmarkStart w:id="57" w:name="معادله-انرژی-لردشولمن"/>
    <w:p>
      <w:pPr>
        <w:pStyle w:val="Heading1"/>
      </w:pPr>
      <w:r>
        <w:t xml:space="preserve">معادلهٔ انرژی لرد–شولمن</w:t>
      </w:r>
    </w:p>
    <w:p>
      <w:pPr>
        <w:pStyle w:val="FirstParagraph"/>
      </w:pPr>
      <m:oMathPara>
        <m:oMathParaPr>
          <m:jc m:val="center"/>
        </m:oMathParaPr>
        <m:oMath>
          <m:r>
            <m:t>ρ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̇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acc>
                <m:accPr>
                  <m:chr m:val="̈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+</m:t>
          </m:r>
          <m:r>
            <m:t>β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̇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acc>
                <m:accPr>
                  <m:chr m:val="̈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∇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5"/>
        </w:numPr>
      </w:pPr>
      <w:r>
        <w:t xml:space="preserve">جملهٔ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θ</m:t>
            </m:r>
          </m:e>
        </m:acc>
      </m:oMath>
      <w:r>
        <w:t xml:space="preserve"> </w:t>
      </w:r>
      <w:r>
        <w:t xml:space="preserve">معادله را</w:t>
      </w:r>
      <w:r>
        <w:t xml:space="preserve"> </w:t>
      </w:r>
      <w:r>
        <w:rPr>
          <w:b/>
          <w:bCs/>
        </w:rPr>
        <w:t xml:space="preserve">هذلولوی</w:t>
      </w:r>
      <w:r>
        <w:t xml:space="preserve"> </w:t>
      </w:r>
      <w:r>
        <w:t xml:space="preserve">می‌کند؛ سرعت موج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e>
        </m:rad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جملهٔ</w:t>
      </w:r>
      <w:r>
        <w:t xml:space="preserve"> </w:t>
      </w:r>
      <m:oMath>
        <m:r>
          <m:t>β</m:t>
        </m:r>
        <m:sSub>
          <m:e>
            <m:r>
              <m:t>T</m:t>
            </m:r>
          </m:e>
          <m:sub>
            <m:r>
              <m:t>0</m:t>
            </m:r>
          </m:sub>
        </m:sSub>
        <m:acc>
          <m:accPr>
            <m:chr m:val="̇"/>
          </m:accPr>
          <m:e>
            <m:r>
              <m:t>e</m:t>
            </m:r>
          </m:e>
        </m:acc>
      </m:oMath>
      <w:r>
        <w:t xml:space="preserve"> </w:t>
      </w:r>
      <w:r>
        <w:rPr>
          <w:b/>
          <w:bCs/>
        </w:rPr>
        <w:t xml:space="preserve">پیوند ممزوج</w:t>
      </w:r>
      <w:r>
        <w:t xml:space="preserve"> </w:t>
      </w:r>
      <w:r>
        <w:t xml:space="preserve">دما و تغییرشکل است.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فوریهٔ کلاسیک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فقط همین یک معادله را نشان دهید. اگر جزئیات استخراج را خواستند، اسلاید پشتیبان (فصل ۳) را باز کنید.</w:t>
      </w:r>
    </w:p>
    <w:bookmarkEnd w:id="57"/>
    <w:bookmarkStart w:id="58" w:name="dqm-لایهای-نیومارک-۱۵-برابر-نقطه-کمتر"/>
    <w:p>
      <w:pPr>
        <w:pStyle w:val="Heading1"/>
      </w:pPr>
      <w:r>
        <w:t xml:space="preserve">DQM لایه‌ای + نیومارک: ۱۵ برابر نقطهٔ کمتر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مکان:</w:t>
      </w:r>
      <w:r>
        <w:t xml:space="preserve"> </w:t>
      </w:r>
      <w:r>
        <w:t xml:space="preserve">مربعات تفاضلی (DQM) لایه‌ای در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با نقاط چبیشف-گاوس-لوباتو.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زمان:</w:t>
      </w:r>
      <w:r>
        <w:t xml:space="preserve"> </w:t>
      </w:r>
      <w:r>
        <w:t xml:space="preserve">نیومارک (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،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 — بدون قید پایداری.</w:t>
      </w:r>
    </w:p>
    <w:p>
      <w:pPr>
        <w:pStyle w:val="Compact"/>
        <w:numPr>
          <w:ilvl w:val="0"/>
          <w:numId w:val="1016"/>
        </w:numPr>
      </w:pPr>
      <w:r>
        <w:t xml:space="preserve">شرایط مرزی و</w:t>
      </w:r>
      <w:r>
        <w:t xml:space="preserve"> </w:t>
      </w:r>
      <w:r>
        <w:rPr>
          <w:b/>
          <w:bCs/>
        </w:rPr>
        <w:t xml:space="preserve">سازگاری بین‌لایه‌ای</w:t>
      </w:r>
      <w:r>
        <w:t xml:space="preserve"> </w:t>
      </w:r>
      <w:r>
        <w:t xml:space="preserve">(دما، شار، جابجایی، تنش) به‌صورت سطرهای جبری.</w:t>
      </w:r>
    </w:p>
    <w:p>
      <w:pPr>
        <w:pStyle w:val="Compact"/>
        <w:numPr>
          <w:ilvl w:val="0"/>
          <w:numId w:val="1016"/>
        </w:numPr>
      </w:pPr>
      <w:r>
        <w:t xml:space="preserve">DQM در هر راستا حدود</w:t>
      </w:r>
      <w:r>
        <w:t xml:space="preserve"> </w:t>
      </w:r>
      <w:r>
        <w:rPr>
          <w:b/>
          <w:bCs/>
        </w:rPr>
        <w:t xml:space="preserve">۱۵ برابر</w:t>
      </w:r>
      <w:r>
        <w:t xml:space="preserve"> </w:t>
      </w:r>
      <w:r>
        <w:t xml:space="preserve">نقطهٔ کمتر از تفاضل محدود و اجزای محدود خطی.</w:t>
      </w:r>
    </w:p>
    <w:bookmarkEnd w:id="58"/>
    <w:bookmarkStart w:id="62" w:name="شبکه-dqm"/>
    <w:p>
      <w:pPr>
        <w:pStyle w:val="Heading1"/>
      </w:pPr>
      <w:r>
        <w:t xml:space="preserve">شبکهٔ DQM</w:t>
      </w:r>
    </w:p>
    <w:p>
      <w:pPr>
        <w:pStyle w:val="FirstParagraph"/>
      </w:pPr>
      <w:r>
        <w:drawing>
          <wp:inline>
            <wp:extent cx="5029200" cy="225018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figures_ch123/DQM_nodes_schemati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50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فلوچارت-حل"/>
    <w:p>
      <w:pPr>
        <w:pStyle w:val="Heading1"/>
      </w:pPr>
      <w:r>
        <w:t xml:space="preserve">فلوچارت حل</w:t>
      </w:r>
    </w:p>
    <w:p>
      <w:pPr>
        <w:pStyle w:val="FirstParagraph"/>
      </w:pPr>
      <w:r>
        <w:drawing>
          <wp:inline>
            <wp:extent cx="2726539" cy="420624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figures_ch123/solution_flowchar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6539" cy="4206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اگر زمان کم است، این اسلاید و اسلاید قبل را حذف یا به پشتیبان ببرید.</w:t>
      </w:r>
    </w:p>
    <w:bookmarkEnd w:id="66"/>
    <w:bookmarkStart w:id="67" w:name="صحتسنجی-پنج-آزمون-مستقل"/>
    <w:p>
      <w:pPr>
        <w:pStyle w:val="Heading1"/>
      </w:pPr>
      <w:r>
        <w:t xml:space="preserve">صحت‌سنجی: پنج آزمون مستقل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حد استاتیکی</w:t>
      </w:r>
      <w:r>
        <w:t xml:space="preserve"> </w:t>
      </w:r>
      <w:r>
        <w:t xml:space="preserve">— حل‌گر استاتیکی مستقل: اختلاف نسبی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پاسخ مکانیکی</w:t>
      </w:r>
      <w:r>
        <w:t xml:space="preserve"> </w:t>
      </w:r>
      <w:r>
        <w:t xml:space="preserve">— ملک‌زاده و ANSYS: اختلاف</w:t>
      </w:r>
      <w:r>
        <w:t xml:space="preserve"> </w:t>
      </w:r>
      <w:r>
        <w:rPr>
          <w:b/>
          <w:bCs/>
        </w:rPr>
        <w:t xml:space="preserve">۰٫۱ تا ۰٫۲٪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هدایت گذرا</w:t>
      </w:r>
      <w:r>
        <w:t xml:space="preserve"> </w:t>
      </w:r>
      <w:r>
        <w:t xml:space="preserve">— حل دقیق سری بسل: خطای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تا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انتگرال‌گیر زمانی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ode15s</w:t>
      </w:r>
      <w:r>
        <w:t xml:space="preserve">: اختلاف</w:t>
      </w:r>
      <w:r>
        <w:t xml:space="preserve"> </w:t>
      </w:r>
      <w:r>
        <w:rPr>
          <w:b/>
          <w:bCs/>
        </w:rPr>
        <w:t xml:space="preserve">۰٫۰۰۳ 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موج صوت دوم</w:t>
      </w:r>
      <w:r>
        <w:t xml:space="preserve"> </w:t>
      </w:r>
      <w:r>
        <w:t xml:space="preserve">— حل دقیق تحلیلی: صحت‌سنجی</w:t>
      </w:r>
      <w:r>
        <w:t xml:space="preserve"> </w:t>
      </w:r>
      <w:r>
        <w:rPr>
          <w:b/>
          <w:bCs/>
        </w:rPr>
        <w:t xml:space="preserve">کمّی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این مهم‌ترین سپرِ دفاعی شماست. آرام و با اعتمادبه‌نفس بخوانید.</w:t>
      </w:r>
    </w:p>
    <w:bookmarkEnd w:id="67"/>
    <w:bookmarkStart w:id="71" w:name="X30c358227235641e9319ee109676bed9e95f11f"/>
    <w:p>
      <w:pPr>
        <w:pStyle w:val="Heading1"/>
      </w:pPr>
      <w:r>
        <w:t xml:space="preserve">آزمون ۲: جابجایی شعاعی با مرجع و ANSYS منطبق است</w:t>
      </w:r>
    </w:p>
    <w:p>
      <w:pPr>
        <w:pStyle w:val="FirstParagraph"/>
      </w:pPr>
      <w:r>
        <w:drawing>
          <wp:inline>
            <wp:extent cx="5029200" cy="359261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Validation/bench1_U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592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جابجایی شعاعی بی‌بعد سطح داخلی در برابر زمان؛ حل حاضر، مرجع و ANSYS. اختلاف ۰٫۱ تا ۰٫۲٪.</w:t>
      </w:r>
    </w:p>
    <w:bookmarkEnd w:id="71"/>
    <w:bookmarkStart w:id="75" w:name="Xa688f80ea7480bd228ee6db98c9cd392fdfbd48"/>
    <w:p>
      <w:pPr>
        <w:pStyle w:val="Heading1"/>
      </w:pPr>
      <w:r>
        <w:t xml:space="preserve">آزمون ۳: پروفیل دما با حل دقیق بسل منطبق است</w:t>
      </w:r>
    </w:p>
    <w:p>
      <w:pPr>
        <w:pStyle w:val="FirstParagraph"/>
      </w:pPr>
      <w:r>
        <w:drawing>
          <wp:inline>
            <wp:extent cx="5029200" cy="34865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../Validation/bench2_T_profile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486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نشانگرها حل حاضر و خط پیوسته حل دقیق سری بسل است؛ خطای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تا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.</w:t>
      </w:r>
    </w:p>
    <w:bookmarkEnd w:id="75"/>
    <w:bookmarkStart w:id="79" w:name="X51916f61cb73211e4f1c695338bf0e65d6fa603"/>
    <w:p>
      <w:pPr>
        <w:pStyle w:val="Heading1"/>
      </w:pPr>
      <w:r>
        <w:t xml:space="preserve">موج صوت دوم: خطای ۰٫۳۲٪ در برابر حل دقیق تحلیلی</w:t>
      </w:r>
    </w:p>
    <w:p>
      <w:pPr>
        <w:pStyle w:val="Compact"/>
        <w:numPr>
          <w:ilvl w:val="0"/>
          <w:numId w:val="1018"/>
        </w:numPr>
      </w:pPr>
      <w:r>
        <w:t xml:space="preserve">مرجع: حل دقیق فوریه-بسل برای</w:t>
      </w:r>
      <w:r>
        <w:t xml:space="preserve"> </w:t>
      </w:r>
      <w:r>
        <w:rPr>
          <w:b/>
          <w:bCs/>
        </w:rPr>
        <w:t xml:space="preserve">همین هندسه</w:t>
      </w:r>
      <w:r>
        <w:t xml:space="preserve">؛ خطا</w:t>
      </w:r>
      <w:r>
        <w:t xml:space="preserve"> </w:t>
      </w:r>
      <m:oMath>
        <m:r>
          <m:t>0.32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) و</w:t>
      </w:r>
      <w:r>
        <w:t xml:space="preserve"> </w:t>
      </w:r>
      <m:oMath>
        <m:r>
          <m:t>0.065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خطا با ریزسازی شبکه</w:t>
      </w:r>
      <w:r>
        <w:t xml:space="preserve"> </w:t>
      </w:r>
      <w:r>
        <w:rPr>
          <w:b/>
          <w:bCs/>
        </w:rPr>
        <w:t xml:space="preserve">یکنواخت کاهش</w:t>
      </w:r>
      <w:r>
        <w:t xml:space="preserve"> </w:t>
      </w:r>
      <w:r>
        <w:t xml:space="preserve">می‌یابد ← نوسان‌های پشت پیشانی</w:t>
      </w:r>
      <w:r>
        <w:t xml:space="preserve"> </w:t>
      </w:r>
      <w:r>
        <w:rPr>
          <w:b/>
          <w:bCs/>
        </w:rPr>
        <w:t xml:space="preserve">اثر گیبس</w:t>
      </w:r>
      <w:r>
        <w:t xml:space="preserve"> </w:t>
      </w:r>
      <w:r>
        <w:t xml:space="preserve">است، نه ناپایداری.</w:t>
      </w:r>
    </w:p>
    <w:p>
      <w:pPr>
        <w:pStyle w:val="FirstParagraph"/>
      </w:pPr>
      <w:r>
        <w:drawing>
          <wp:inline>
            <wp:extent cx="5029200" cy="215415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../figures_validation/ls_wave_validation_R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5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اگر پرسیدند «چرا مرجع تحلیلی و نه مقالهٔ چاپ‌شده؟» بگویید: حل دقیق برای همین هندسه استخراج شده، پس مقایسه بدون خطای رقمی‌سازیِ شکلِ مرجع و بدون اختلاف در فرضیات انجام می‌شود. پیشانی موج با دقت کمتر از یک فاصلهٔ شبکه ردیابی می‌شود.</w:t>
      </w:r>
    </w:p>
    <w:bookmarkEnd w:id="79"/>
    <w:bookmarkStart w:id="83" w:name="مش-قفلشده-n_r15-n_z11-n_l7"/>
    <w:p>
      <w:pPr>
        <w:pStyle w:val="Heading1"/>
      </w:pPr>
      <w:r>
        <w:t xml:space="preserve">مش قفل‌شده: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،</w:t>
      </w:r>
      <w: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،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</w:p>
    <w:p>
      <w:pPr>
        <w:pStyle w:val="FirstParagraph"/>
      </w:pPr>
      <w:r>
        <w:drawing>
          <wp:inline>
            <wp:extent cx="5029200" cy="380554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../figures_ch4_color/conv_master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805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راستای محوری راستای مقیدکننده است.</w:t>
      </w:r>
    </w:p>
    <w:bookmarkEnd w:id="83"/>
    <w:bookmarkStart w:id="87" w:name="X9483acd9bc1a2dd7d1160d7ace2b440281577dd"/>
    <w:p>
      <w:pPr>
        <w:pStyle w:val="Heading1"/>
      </w:pPr>
      <w:r>
        <w:t xml:space="preserve">نتیجه ۱: دمای میان‌جداری از مقدار محرک فراتر می‌رود (۱٫۱۱۵)</w:t>
      </w:r>
    </w:p>
    <w:p>
      <w:pPr>
        <w:pStyle w:val="Compact"/>
        <w:numPr>
          <w:ilvl w:val="0"/>
          <w:numId w:val="1019"/>
        </w:numPr>
      </w:pPr>
      <w:r>
        <w:t xml:space="preserve">تا</w:t>
      </w:r>
      <w:r>
        <w:t xml:space="preserve"> </w:t>
      </w:r>
      <w:r>
        <w:rPr>
          <w:b/>
          <w:bCs/>
        </w:rPr>
        <w:t xml:space="preserve">۱٫۱۱۵</w:t>
      </w:r>
      <w:r>
        <w:t xml:space="preserve"> </w:t>
      </w:r>
      <w:r>
        <w:t xml:space="preserve">در کسر وزنی بالای گرافن و</w:t>
      </w:r>
      <w:r>
        <w:t xml:space="preserve"> </w:t>
      </w:r>
      <w:r>
        <w:rPr>
          <w:b/>
          <w:bCs/>
        </w:rPr>
        <w:t xml:space="preserve">۱٫۱۰۹</w:t>
      </w:r>
      <w:r>
        <w:t xml:space="preserve"> </w:t>
      </w:r>
      <w:r>
        <w:t xml:space="preserve">در تخلخل V؛ الگوی «قله-قعر» از بازتاب موج.</w:t>
      </w:r>
    </w:p>
    <w:p>
      <w:pPr>
        <w:pStyle w:val="Compact"/>
        <w:numPr>
          <w:ilvl w:val="0"/>
          <w:numId w:val="1019"/>
        </w:numPr>
      </w:pPr>
      <w:r>
        <w:t xml:space="preserve">در مدل کلاسیک</w:t>
      </w:r>
      <w:r>
        <w:t xml:space="preserve"> </w:t>
      </w:r>
      <w:r>
        <w:rPr>
          <w:b/>
          <w:bCs/>
        </w:rPr>
        <w:t xml:space="preserve">قابل بازتولید نیست</w:t>
      </w:r>
      <w:r>
        <w:t xml:space="preserve">.</w:t>
      </w:r>
    </w:p>
    <w:p>
      <w:pPr>
        <w:pStyle w:val="FirstParagraph"/>
      </w:pPr>
      <w:r>
        <w:drawing>
          <wp:inline>
            <wp:extent cx="5029200" cy="310941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../figures_ch4_color/C_relaxat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9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f777d7e1e30d0b95cc8da8e2e8310b02b9821c5"/>
    <w:p>
      <w:pPr>
        <w:pStyle w:val="Heading1"/>
      </w:pPr>
      <w:r>
        <w:t xml:space="preserve">نتیجه ۲: گرافن V دما را ۲۹٪ و تنش را تا ۳ برابر کم می‌کند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</w:t>
      </w:r>
      <w:r>
        <w:t xml:space="preserve"> </w:t>
      </w:r>
      <w:r>
        <w:t xml:space="preserve">(رسانا در سطح داخلیِ گرم): دمای بیشینه</w:t>
      </w:r>
      <w:r>
        <w:t xml:space="preserve"> </w:t>
      </w:r>
      <w:r>
        <w:rPr>
          <w:b/>
          <w:bCs/>
        </w:rPr>
        <w:t xml:space="preserve">۲۹٪</w:t>
      </w:r>
      <w:r>
        <w:t xml:space="preserve"> </w:t>
      </w:r>
      <w:r>
        <w:t xml:space="preserve">کمتر؛ تنش محیطی داخلی تا</w:t>
      </w:r>
      <w:r>
        <w:t xml:space="preserve"> </w:t>
      </w:r>
      <w:r>
        <w:rPr>
          <w:b/>
          <w:bCs/>
        </w:rPr>
        <w:t xml:space="preserve">۳ برابر</w:t>
      </w:r>
      <w:r>
        <w:t xml:space="preserve"> </w:t>
      </w:r>
      <w:r>
        <w:t xml:space="preserve">کمتر.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(آینهٔ V)</w:t>
      </w:r>
      <w:r>
        <w:t xml:space="preserve"> </w:t>
      </w:r>
      <w:r>
        <w:rPr>
          <w:b/>
          <w:bCs/>
        </w:rPr>
        <w:t xml:space="preserve">بدترین</w:t>
      </w:r>
      <w:r>
        <w:t xml:space="preserve"> </w:t>
      </w:r>
      <w:r>
        <w:t xml:space="preserve">حالت در هر سه کمیت است.</w:t>
      </w:r>
    </w:p>
    <w:p>
      <w:pPr>
        <w:pStyle w:val="FirstParagraph"/>
      </w:pPr>
      <w:r>
        <w:drawing>
          <wp:inline>
            <wp:extent cx="5029200" cy="3109417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ures_ch4_color/A_GPL_pattern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9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Xa1e104905a21ce27a9ab3fdf93d301d4f1308bd"/>
    <w:p>
      <w:pPr>
        <w:pStyle w:val="Heading1"/>
      </w:pPr>
      <w:r>
        <w:t xml:space="preserve">نتیجه ۳: تخلخل A همچون سد حرارتی، دمای سطح خارجی را ۸ برابر کم می‌کند</w:t>
      </w:r>
    </w:p>
    <w:p>
      <w:pPr>
        <w:pStyle w:val="Compact"/>
        <w:numPr>
          <w:ilvl w:val="0"/>
          <w:numId w:val="1021"/>
        </w:numPr>
      </w:pPr>
      <w:r>
        <w:t xml:space="preserve">حفره‌ها در سطح خارجی</w:t>
      </w:r>
      <w:r>
        <w:t xml:space="preserve"> </w:t>
      </w:r>
      <w:r>
        <w:rPr>
          <w:b/>
          <w:bCs/>
        </w:rPr>
        <w:t xml:space="preserve">سد حرارتی</w:t>
      </w:r>
      <w:r>
        <w:t xml:space="preserve"> </w:t>
      </w:r>
      <w:r>
        <w:t xml:space="preserve">می‌سازند؛ اما</w:t>
      </w:r>
      <w:r>
        <w:t xml:space="preserve"> </w:t>
      </w:r>
      <w:r>
        <w:rPr>
          <w:b/>
          <w:bCs/>
        </w:rPr>
        <w:t xml:space="preserve">علامت</w:t>
      </w:r>
      <w:r>
        <w:t xml:space="preserve"> </w:t>
      </w:r>
      <w:r>
        <w:t xml:space="preserve">تنش محیطی داخلی را وارون می‌کنند.</w:t>
      </w:r>
    </w:p>
    <w:p>
      <w:pPr>
        <w:pStyle w:val="Compact"/>
        <w:numPr>
          <w:ilvl w:val="0"/>
          <w:numId w:val="1021"/>
        </w:numPr>
      </w:pPr>
      <w:r>
        <w:t xml:space="preserve">الگوی V بیشترین قلهٔ گذرا را دارد (</w:t>
      </w:r>
      <w:r>
        <w:rPr>
          <w:b/>
          <w:bCs/>
        </w:rPr>
        <w:t xml:space="preserve">۱٫۱۱</w:t>
      </w:r>
      <w:r>
        <w:t xml:space="preserve">).</w:t>
      </w:r>
    </w:p>
    <w:p>
      <w:pPr>
        <w:pStyle w:val="FirstParagraph"/>
      </w:pPr>
      <w:r>
        <w:drawing>
          <wp:inline>
            <wp:extent cx="4734797" cy="329184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../figures_ch4_color/B_porosity_pattern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797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f09d9b65103a55903723c10dc1af1ae281e6d1"/>
    <w:p>
      <w:pPr>
        <w:pStyle w:val="Heading1"/>
      </w:pPr>
      <w:r>
        <w:t xml:space="preserve">نتیجه ۴ ★: گرافن V + تخلخل A هم‌افزاست — تا ۲۶ برابر کاهش دما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هم‌افزا:</w:t>
      </w:r>
      <w:r>
        <w:t xml:space="preserve"> </w:t>
      </w:r>
      <w:r>
        <w:t xml:space="preserve">V-گرافن با A-تخلخل</w:t>
      </w:r>
      <w:r>
        <w:t xml:space="preserve"> </w:t>
      </w:r>
      <m:oMath>
        <m:r>
          <m:rPr>
            <m:sty m:val="p"/>
          </m:rPr>
          <m:t>→</m:t>
        </m:r>
        <m:r>
          <m:t>0.034</m:t>
        </m:r>
      </m:oMath>
      <w:r>
        <w:t xml:space="preserve">؛</w:t>
      </w:r>
      <w:r>
        <w:t xml:space="preserve"> </w:t>
      </w:r>
      <w:r>
        <w:rPr>
          <w:b/>
          <w:bCs/>
        </w:rPr>
        <w:t xml:space="preserve">خنثی‌کننده:</w:t>
      </w:r>
      <w:r>
        <w:t xml:space="preserve"> </w:t>
      </w:r>
      <w:r>
        <w:t xml:space="preserve">V-گرافن با V-تخلخل</w:t>
      </w:r>
      <w:r>
        <w:t xml:space="preserve"> </w:t>
      </w:r>
      <m:oMath>
        <m:r>
          <m:rPr>
            <m:sty m:val="p"/>
          </m:rPr>
          <m:t>→</m:t>
        </m:r>
        <m:r>
          <m:t>0.692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هم‌راستایی یا تقابل دو الگو</w:t>
      </w:r>
      <w:r>
        <w:t xml:space="preserve"> </w:t>
      </w:r>
      <w:r>
        <w:t xml:space="preserve">تعیین‌کننده است، نه انتخاب یک الگوی «خوب».</w:t>
      </w:r>
    </w:p>
    <w:p>
      <w:pPr>
        <w:pStyle w:val="FirstParagraph"/>
      </w:pPr>
      <w:r>
        <w:drawing>
          <wp:inline>
            <wp:extent cx="4374107" cy="32004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ures_ch4_color/matrix25_T_xi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107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این مهم‌ترین یافتهٔ پایان‌نامه است. اینجا سرعت را کم کنید، جمله‌بندی را دقیق بگویید و توصیهٔ طراحی را صریح اعلام کنید.</w:t>
      </w:r>
    </w:p>
    <w:bookmarkEnd w:id="99"/>
    <w:bookmarkStart w:id="103" w:name="نتیجه-۵-آستانه-پرکولاسیون-در-کسر-وزنی-۱"/>
    <w:p>
      <w:pPr>
        <w:pStyle w:val="Heading1"/>
      </w:pPr>
      <w:r>
        <w:t xml:space="preserve">نتیجه ۵: آستانهٔ پرکولاسیون در کسر وزنی ≈ ۱٪</w:t>
      </w:r>
    </w:p>
    <w:p>
      <w:pPr>
        <w:pStyle w:val="Compact"/>
        <w:numPr>
          <w:ilvl w:val="0"/>
          <w:numId w:val="1023"/>
        </w:numPr>
      </w:pPr>
      <w:r>
        <w:t xml:space="preserve">گذر از «عایق» به «رسانا»؛ بیشتر از آن، نفوذ حرارتی فقط</w:t>
      </w:r>
      <w:r>
        <w:t xml:space="preserve"> </w:t>
      </w:r>
      <w:r>
        <w:rPr>
          <w:b/>
          <w:bCs/>
        </w:rPr>
        <w:t xml:space="preserve">هموار</w:t>
      </w:r>
      <w:r>
        <w:t xml:space="preserve"> </w:t>
      </w:r>
      <w:r>
        <w:t xml:space="preserve">بهتر می‌شود اما</w:t>
      </w:r>
      <w:r>
        <w:t xml:space="preserve"> </w:t>
      </w:r>
      <w:r>
        <w:rPr>
          <w:b/>
          <w:bCs/>
        </w:rPr>
        <w:t xml:space="preserve">تنش حرارتی دو برابر</w:t>
      </w:r>
      <w:r>
        <w:t xml:space="preserve"> </w:t>
      </w:r>
      <w:r>
        <w:t xml:space="preserve">می‌شود (در ۸٪).</w:t>
      </w:r>
    </w:p>
    <w:p>
      <w:pPr>
        <w:pStyle w:val="Compact"/>
        <w:numPr>
          <w:ilvl w:val="0"/>
          <w:numId w:val="1023"/>
        </w:numPr>
      </w:pPr>
      <w:r>
        <w:t xml:space="preserve">نسبت ابعادی پلاکت اثر</w:t>
      </w:r>
      <w:r>
        <w:t xml:space="preserve"> </w:t>
      </w:r>
      <w:r>
        <w:rPr>
          <w:b/>
          <w:bCs/>
        </w:rPr>
        <w:t xml:space="preserve">درجهٔ دوم</w:t>
      </w:r>
      <w:r>
        <w:t xml:space="preserve"> </w:t>
      </w:r>
      <w:r>
        <w:t xml:space="preserve">دارد (تنش &lt; ۲٪).</w:t>
      </w:r>
    </w:p>
    <w:p>
      <w:pPr>
        <w:pStyle w:val="FirstParagraph"/>
      </w:pPr>
      <w:r>
        <w:drawing>
          <wp:inline>
            <wp:extent cx="4734797" cy="329184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../figures_ch4_color/D_wt_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797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9195bc8c0886ab7cf30f52529b57dceadfeaa78"/>
    <w:p>
      <w:pPr>
        <w:pStyle w:val="Heading1"/>
      </w:pPr>
      <w:r>
        <w:t xml:space="preserve">نتیجه ۶: در شوک گاوسی، بیشینهٔ دمای فوریه حدود ۲٫۵ برابر کمتر است</w:t>
      </w:r>
    </w:p>
    <w:p>
      <w:pPr>
        <w:pStyle w:val="Compact"/>
        <w:numPr>
          <w:ilvl w:val="0"/>
          <w:numId w:val="1024"/>
        </w:numPr>
      </w:pPr>
      <w:r>
        <w:t xml:space="preserve">در شوک کوتاه‌مدت، انتخاب مدل هدایت بر پیش‌بینی بیشینهٔ دما اثر زیادی دارد.</w:t>
      </w:r>
    </w:p>
    <w:p>
      <w:pPr>
        <w:pStyle w:val="Compact"/>
        <w:numPr>
          <w:ilvl w:val="0"/>
          <w:numId w:val="1024"/>
        </w:numPr>
      </w:pPr>
      <w:r>
        <w:t xml:space="preserve">حل ممزوج موج را حدود</w:t>
      </w:r>
      <w:r>
        <w:t xml:space="preserve"> </w:t>
      </w:r>
      <w:r>
        <w:rPr>
          <w:b/>
          <w:bCs/>
        </w:rPr>
        <w:t xml:space="preserve">۱٪</w:t>
      </w:r>
      <w:r>
        <w:t xml:space="preserve"> </w:t>
      </w:r>
      <w:r>
        <w:t xml:space="preserve">میرا می‌کند (میرایی ترموالاستیک).</w:t>
      </w:r>
    </w:p>
    <w:p>
      <w:pPr>
        <w:pStyle w:val="FirstParagraph"/>
      </w:pPr>
      <w:r>
        <w:drawing>
          <wp:inline>
            <wp:extent cx="4734797" cy="329184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../figures_ch4_color/M_gauss_shoc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797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یادداشت ارائه:</w:t>
      </w:r>
      <w:r>
        <w:t xml:space="preserve"> </w:t>
      </w:r>
      <w:r>
        <w:t xml:space="preserve">این یافته را با ذکر شرایط (پالس گاوسی) و بدون مبالغه بیان کنید.</w:t>
      </w:r>
    </w:p>
    <w:bookmarkEnd w:id="107"/>
    <w:bookmarkStart w:id="111" w:name="نتیجه-۷-مقایسه-چهار-تئوری-ترموالاستیسیته"/>
    <w:p>
      <w:pPr>
        <w:pStyle w:val="Heading1"/>
      </w:pPr>
      <w:r>
        <w:t xml:space="preserve">نتیجه ۷: مقایسهٔ چهار تئوری ترموالاستیسیته</w:t>
      </w:r>
    </w:p>
    <w:p>
      <w:pPr>
        <w:pStyle w:val="Compact"/>
        <w:numPr>
          <w:ilvl w:val="0"/>
          <w:numId w:val="1025"/>
        </w:numPr>
      </w:pPr>
      <w:r>
        <w:t xml:space="preserve">فوریه / لرد-شولمن / DPL / گرین-نگدی III؛ تباهیدگی DPL در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t xml:space="preserve">؛ فراجهش ماندگار GN-III.</w:t>
      </w:r>
    </w:p>
    <w:p>
      <w:pPr>
        <w:pStyle w:val="FirstParagraph"/>
      </w:pPr>
      <w:r>
        <w:drawing>
          <wp:inline>
            <wp:extent cx="4997842" cy="347471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../figures_ch4_color/T3_theorie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842" cy="3474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نوآوریهای-پژوهش"/>
    <w:p>
      <w:pPr>
        <w:pStyle w:val="Heading1"/>
      </w:pPr>
      <w:r>
        <w:t xml:space="preserve">نوآوری‌های پژوهش</w:t>
      </w:r>
    </w:p>
    <w:p>
      <w:pPr>
        <w:pStyle w:val="Compact"/>
        <w:numPr>
          <w:ilvl w:val="0"/>
          <w:numId w:val="1026"/>
        </w:numPr>
      </w:pPr>
      <w:r>
        <w:t xml:space="preserve">حل</w:t>
      </w:r>
      <w:r>
        <w:t xml:space="preserve"> </w:t>
      </w:r>
      <w:r>
        <w:rPr>
          <w:b/>
          <w:bCs/>
        </w:rPr>
        <w:t xml:space="preserve">کاملاً ممزوج</w:t>
      </w:r>
      <w:r>
        <w:t xml:space="preserve"> </w:t>
      </w:r>
      <w:r>
        <w:t xml:space="preserve">لرد-شولمن برای استوانهٔ چندلایهٔ متخلخلِ گرافنی با DQM لایه‌ایِ دوبعدی.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برهم‌کنش هم‌افزای V-گرافن و A-تخلخل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ماتریس کامل ۵×۵</w:t>
      </w:r>
      <w:r>
        <w:t xml:space="preserve"> </w:t>
      </w:r>
      <w:r>
        <w:t xml:space="preserve">که در مراجع پیشین همتا ندارد.</w:t>
      </w:r>
    </w:p>
    <w:p>
      <w:pPr>
        <w:pStyle w:val="Compact"/>
        <w:numPr>
          <w:ilvl w:val="0"/>
          <w:numId w:val="1026"/>
        </w:numPr>
      </w:pPr>
      <w:r>
        <w:t xml:space="preserve">رفتار</w:t>
      </w:r>
      <w:r>
        <w:t xml:space="preserve"> </w:t>
      </w:r>
      <w:r>
        <w:rPr>
          <w:b/>
          <w:bCs/>
        </w:rPr>
        <w:t xml:space="preserve">«قله-قعر»</w:t>
      </w:r>
      <w:r>
        <w:t xml:space="preserve"> </w:t>
      </w:r>
      <w:r>
        <w:t xml:space="preserve">و آینه‌ایِ الگوها و پیوند آن با سرشت موجی هدایت.</w:t>
      </w:r>
    </w:p>
    <w:p>
      <w:pPr>
        <w:pStyle w:val="Compact"/>
        <w:numPr>
          <w:ilvl w:val="0"/>
          <w:numId w:val="1026"/>
        </w:numPr>
      </w:pPr>
      <w:r>
        <w:t xml:space="preserve">سه مطالعهٔ گسترشی: شش انتگرال‌گیر زمانی، چهار روش مکانی، چهار تئوری.</w:t>
      </w:r>
    </w:p>
    <w:p>
      <w:pPr>
        <w:pStyle w:val="Compact"/>
        <w:numPr>
          <w:ilvl w:val="0"/>
          <w:numId w:val="1026"/>
        </w:numPr>
      </w:pPr>
      <w:r>
        <w:t xml:space="preserve">صحت‌سنجی</w:t>
      </w:r>
      <w:r>
        <w:t xml:space="preserve"> </w:t>
      </w:r>
      <w:r>
        <w:rPr>
          <w:b/>
          <w:bCs/>
        </w:rPr>
        <w:t xml:space="preserve">کمّی</w:t>
      </w:r>
      <w:r>
        <w:t xml:space="preserve"> </w:t>
      </w:r>
      <w:r>
        <w:t xml:space="preserve">موج صوت دوم در برابر حل دقیق تحلیلی.</w:t>
      </w:r>
    </w:p>
    <w:bookmarkEnd w:id="112"/>
    <w:bookmarkStart w:id="113" w:name="نتیجهگیری"/>
    <w:p>
      <w:pPr>
        <w:pStyle w:val="Heading1"/>
      </w:pPr>
      <w:r>
        <w:t xml:space="preserve">نتیجه‌گیری</w:t>
      </w:r>
    </w:p>
    <w:p>
      <w:pPr>
        <w:pStyle w:val="Compact"/>
        <w:numPr>
          <w:ilvl w:val="0"/>
          <w:numId w:val="1027"/>
        </w:numPr>
      </w:pPr>
      <w:r>
        <w:t xml:space="preserve">در</w:t>
      </w:r>
      <w:r>
        <w:t xml:space="preserve"> </w:t>
      </w:r>
      <w:r>
        <w:rPr>
          <w:b/>
          <w:bCs/>
        </w:rPr>
        <w:t xml:space="preserve">شوک حرارتی گذرا</w:t>
      </w:r>
      <w:r>
        <w:t xml:space="preserve">، پیش‌بینی دما و تنش به انتخاب مدل هدایت حساس است؛ در پالس گاوسی فوریه بیشینهٔ دما را حدود ۲٫۵ برابر کمتر می‌دهد.</w:t>
      </w:r>
    </w:p>
    <w:p>
      <w:pPr>
        <w:pStyle w:val="Compact"/>
        <w:numPr>
          <w:ilvl w:val="0"/>
          <w:numId w:val="1027"/>
        </w:numPr>
      </w:pPr>
      <w:r>
        <w:t xml:space="preserve">از دیدگاه طراحی،</w:t>
      </w:r>
      <w:r>
        <w:t xml:space="preserve"> </w:t>
      </w:r>
      <w:r>
        <w:rPr>
          <w:b/>
          <w:bCs/>
        </w:rPr>
        <w:t xml:space="preserve">هم‌راستاسازی گرافن و تخلخل (V-A)</w:t>
      </w:r>
      <w:r>
        <w:t xml:space="preserve"> </w:t>
      </w:r>
      <w:r>
        <w:t xml:space="preserve">بهترین رفتار حرارتی را با کمترین جریمهٔ تنش می‌دهد.</w:t>
      </w:r>
    </w:p>
    <w:p>
      <w:pPr>
        <w:pStyle w:val="Compact"/>
        <w:numPr>
          <w:ilvl w:val="0"/>
          <w:numId w:val="1027"/>
        </w:numPr>
      </w:pPr>
      <w:r>
        <w:t xml:space="preserve">انتخاب الگو باید</w:t>
      </w:r>
      <w:r>
        <w:t xml:space="preserve"> </w:t>
      </w:r>
      <w:r>
        <w:rPr>
          <w:b/>
          <w:bCs/>
        </w:rPr>
        <w:t xml:space="preserve">هم‌زمان</w:t>
      </w:r>
      <w:r>
        <w:t xml:space="preserve"> </w:t>
      </w:r>
      <w:r>
        <w:t xml:space="preserve">از منظر دما و تنش سنجیده شود.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DQM لایه‌ای + نیومارک</w:t>
      </w:r>
      <w:r>
        <w:t xml:space="preserve"> </w:t>
      </w:r>
      <w:r>
        <w:t xml:space="preserve">ابزاری کارآمد و صحت‌سنجی‌شده است.</w:t>
      </w:r>
    </w:p>
    <w:bookmarkEnd w:id="113"/>
    <w:bookmarkStart w:id="114" w:name="محدودیتها-و-پیشنهادها"/>
    <w:p>
      <w:pPr>
        <w:pStyle w:val="Heading1"/>
      </w:pPr>
      <w:r>
        <w:t xml:space="preserve">محدودیت‌ها و پیشنهادها</w:t>
      </w:r>
    </w:p>
    <w:p>
      <w:pPr>
        <w:pStyle w:val="FirstParagraph"/>
      </w:pPr>
      <w:r>
        <w:rPr>
          <w:b/>
          <w:bCs/>
        </w:rPr>
        <w:t xml:space="preserve">محدودیت‌ها</w:t>
      </w:r>
    </w:p>
    <w:p>
      <w:pPr>
        <w:pStyle w:val="Compact"/>
        <w:numPr>
          <w:ilvl w:val="0"/>
          <w:numId w:val="1028"/>
        </w:numPr>
      </w:pPr>
      <w:r>
        <w:t xml:space="preserve">خواص مادی</w:t>
      </w:r>
      <w:r>
        <w:t xml:space="preserve"> </w:t>
      </w:r>
      <w:r>
        <w:rPr>
          <w:b/>
          <w:bCs/>
        </w:rPr>
        <w:t xml:space="preserve">مستقل از دما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مدل</w:t>
      </w:r>
      <w:r>
        <w:t xml:space="preserve"> </w:t>
      </w:r>
      <w:r>
        <w:rPr>
          <w:b/>
          <w:bCs/>
        </w:rPr>
        <w:t xml:space="preserve">الاستیک خطی</w:t>
      </w:r>
      <w:r>
        <w:t xml:space="preserve">، بدون معیار آسیب/شکست.</w:t>
      </w:r>
    </w:p>
    <w:p>
      <w:pPr>
        <w:pStyle w:val="Compact"/>
        <w:numPr>
          <w:ilvl w:val="0"/>
          <w:numId w:val="1028"/>
        </w:numPr>
      </w:pPr>
      <w:r>
        <w:t xml:space="preserve">پیوند</w:t>
      </w:r>
      <w:r>
        <w:t xml:space="preserve"> </w:t>
      </w:r>
      <w:r>
        <w:rPr>
          <w:b/>
          <w:bCs/>
        </w:rPr>
        <w:t xml:space="preserve">کامل</w:t>
      </w:r>
      <w:r>
        <w:t xml:space="preserve"> </w:t>
      </w:r>
      <w:r>
        <w:t xml:space="preserve">بین‌لایه‌ای (بدون مقاومت حرارتی فصل‌مشترک).</w:t>
      </w:r>
    </w:p>
    <w:p>
      <w:pPr>
        <w:pStyle w:val="FirstParagraph"/>
      </w:pPr>
      <w:r>
        <w:rPr>
          <w:b/>
          <w:bCs/>
        </w:rPr>
        <w:t xml:space="preserve">پیشنهادها</w:t>
      </w:r>
    </w:p>
    <w:p>
      <w:pPr>
        <w:pStyle w:val="Compact"/>
        <w:numPr>
          <w:ilvl w:val="0"/>
          <w:numId w:val="1029"/>
        </w:numPr>
      </w:pPr>
      <w:r>
        <w:t xml:space="preserve">وابستگی خواص به دما و رفتار</w:t>
      </w:r>
      <w:r>
        <w:t xml:space="preserve"> </w:t>
      </w:r>
      <w:r>
        <w:rPr>
          <w:b/>
          <w:bCs/>
        </w:rPr>
        <w:t xml:space="preserve">غیرخطی/آسیب</w:t>
      </w:r>
      <w:r>
        <w:t xml:space="preserve">؛</w:t>
      </w:r>
      <w:r>
        <w:t xml:space="preserve"> </w:t>
      </w:r>
      <w:r>
        <w:rPr>
          <w:b/>
          <w:bCs/>
        </w:rPr>
        <w:t xml:space="preserve">مقاومت حرارتی فصل‌مشترک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صحت‌سنجی تجربی</w:t>
      </w:r>
      <w:r>
        <w:t xml:space="preserve"> </w:t>
      </w:r>
      <w:r>
        <w:t xml:space="preserve">و نمودار طراحیِ مهندسی بر پایهٔ یافتهٔ V-A.</w:t>
      </w:r>
    </w:p>
    <w:bookmarkEnd w:id="114"/>
    <w:bookmarkStart w:id="115" w:name="با-تشکر-از-توجه-شما"/>
    <w:p>
      <w:pPr>
        <w:pStyle w:val="Heading1"/>
      </w:pPr>
      <w:r>
        <w:t xml:space="preserve">با تشکر از توجه شما</w:t>
      </w:r>
    </w:p>
    <w:p>
      <w:pPr>
        <w:pStyle w:val="FirstParagraph"/>
      </w:pPr>
      <w:r>
        <w:t xml:space="preserve">پرسش و پاسخ</w:t>
      </w:r>
    </w:p>
    <w:bookmarkEnd w:id="115"/>
    <w:bookmarkStart w:id="116" w:name="اسلایدهای-پشتیبان"/>
    <w:p>
      <w:pPr>
        <w:pStyle w:val="Heading1"/>
      </w:pPr>
      <w:r>
        <w:t xml:space="preserve">اسلایدهای پشتیبان</w:t>
      </w:r>
    </w:p>
    <w:bookmarkEnd w:id="116"/>
    <w:bookmarkStart w:id="120" w:name="پشتیبان-۱-آزمون-۱-حد-استاتیکی-شکل-۴-۵"/>
    <w:p>
      <w:pPr>
        <w:pStyle w:val="Heading1"/>
      </w:pPr>
      <w:r>
        <w:t xml:space="preserve">پشتیبان ۱ — آزمون ۱: حد استاتیکی (شکل ۴-۵)</w:t>
      </w:r>
    </w:p>
    <w:p>
      <w:pPr>
        <w:pStyle w:val="Compact"/>
        <w:numPr>
          <w:ilvl w:val="0"/>
          <w:numId w:val="1030"/>
        </w:numPr>
      </w:pPr>
      <w:r>
        <w:t xml:space="preserve">۴۵ نقطهٔ شعاعی؛ بیشینهٔ اختلاف مطلق</w:t>
      </w:r>
      <w:r>
        <w:t xml:space="preserve"> </w:t>
      </w:r>
      <m:oMath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 و نسبی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p>
      <w:pPr>
        <w:pStyle w:val="FirstParagraph"/>
      </w:pPr>
      <w:r>
        <w:drawing>
          <wp:inline>
            <wp:extent cx="5029200" cy="311029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ures_validation/verif_test1_static_R3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10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Xe5f49db26db7768294e51aa875c57b0c372d90a"/>
    <w:p>
      <w:pPr>
        <w:pStyle w:val="Heading1"/>
      </w:pPr>
      <w:r>
        <w:t xml:space="preserve">پشتیبان ۲ — آزمون ۴: انتگرال‌گیر زمانی (شکل ۴-۸)</w:t>
      </w:r>
    </w:p>
    <w:p>
      <w:pPr>
        <w:pStyle w:val="Compact"/>
        <w:numPr>
          <w:ilvl w:val="0"/>
          <w:numId w:val="1031"/>
        </w:numPr>
      </w:pPr>
      <w:r>
        <w:t xml:space="preserve">خطای بیشینه: نیومارک</w:t>
      </w:r>
      <w:r>
        <w:t xml:space="preserve"> </w:t>
      </w:r>
      <w:r>
        <w:rPr>
          <w:b/>
          <w:bCs/>
        </w:rPr>
        <w:t xml:space="preserve">۰٫۰۰۳۱۹ K</w:t>
      </w:r>
      <w:r>
        <w:t xml:space="preserve">،</w:t>
      </w:r>
      <w:r>
        <w:t xml:space="preserve"> </w:t>
      </w:r>
      <w:r>
        <w:rPr>
          <w:rStyle w:val="VerbatimChar"/>
        </w:rPr>
        <w:t xml:space="preserve">ode15s</w:t>
      </w:r>
      <w:r>
        <w:t xml:space="preserve"> </w:t>
      </w:r>
      <w:r>
        <w:rPr>
          <w:b/>
          <w:bCs/>
        </w:rPr>
        <w:t xml:space="preserve">۰٫۰۰۰۲۶ K</w:t>
      </w:r>
      <w:r>
        <w:t xml:space="preserve">؛ هزینهٔ نیومارک حدود یک‌دهم.</w:t>
      </w:r>
    </w:p>
    <w:p>
      <w:pPr>
        <w:pStyle w:val="FirstParagraph"/>
      </w:pPr>
      <w:r>
        <w:drawing>
          <wp:inline>
            <wp:extent cx="5029200" cy="311029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ures_validation/verif_test4_integrator_R3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10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sectPr w:rsidR="00A47E2E" w:rsidRPr="00CE3E70" w:rsidSect="008F7DFB">
      <w:headerReference r:id="rId9" w:type="default"/>
      <w:footerReference r:id="rId10" w:type="default"/>
      <w:footnotePr>
        <w:numRestart w:val="eachPage"/>
      </w:footnotePr>
      <w:pgSz w:code="9" w:h="16840" w:w="11907"/>
      <w:pgMar w:bottom="1701" w:footer="720" w:gutter="0" w:header="720" w:left="1701" w:right="2268" w:top="3939"/>
      <w:cols w:space="720"/>
      <w:bidi/>
      <w:rtlGutter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3B736DE2-80C7-4C74-9A2E-9852BF6A725B}"/>
    <w:embedBold r:id="rId2" w:fontKey="{E9B8F894-6E6B-4C20-903F-BBCF7C3E8F0A}"/>
    <w:embedItalic r:id="rId3" w:fontKey="{CCCB29C5-C97A-4576-BAFD-39A01C043DD5}"/>
    <w:embedBoldItalic r:id="rId4" w:fontKey="{F90682A7-868B-4BBE-BD8A-F7E5B8F11FFA}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5" w:fontKey="{00AE9C55-8B7F-429A-989B-029BBEBD9107}"/>
    <w:embedBold r:id="rId6" w:fontKey="{A22DBD88-3BC4-46E3-A3C8-BEA07B810316}"/>
    <w:embedBoldItalic r:id="rId7" w:fontKey="{7CB32BE3-BFC7-4508-B650-BB9BCE9F5B10}"/>
  </w:font>
  <w:font w:name="B Nazanin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8" w:fontKey="{D559CDC4-783B-4EC0-AC5F-8CEC725A4C79}"/>
    <w:embedBold r:id="rId9" w:fontKey="{3E40936C-D9BF-46EA-8F0B-936D994DDA7E}"/>
    <w:embedItalic r:id="rId10" w:fontKey="{47A65102-1634-42BD-90EF-D8BFBBB8849D}"/>
    <w:embedBoldItalic r:id="rId11" w:fontKey="{513286B6-6D12-44B1-B45B-D7FBE44D9B9A}"/>
  </w:font>
  <w:font w:name="B Kourosh">
    <w:altName w:val="Arial"/>
    <w:charset w:val="B2"/>
    <w:family w:val="auto"/>
    <w:pitch w:val="variable"/>
    <w:sig w:usb0="00002001" w:usb1="80000000" w:usb2="00000008" w:usb3="00000000" w:csb0="00000040" w:csb1="00000000"/>
    <w:embedRegular r:id="rId12" w:fontKey="{CDD4E0C1-3B47-491F-90A8-4D81C874A3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3" w:fontKey="{59441DF5-3BFA-4FA3-B3AF-CF01ACEE5F06}"/>
  </w:font>
  <w:font w:name="B Titr">
    <w:altName w:val="Courier New"/>
    <w:charset w:val="B2"/>
    <w:family w:val="auto"/>
    <w:pitch w:val="variable"/>
    <w:sig w:usb0="00002000" w:usb1="80000000" w:usb2="00000008" w:usb3="00000000" w:csb0="00000040" w:csb1="00000000"/>
    <w:embedRegular r:id="rId14" w:fontKey="{709AD808-78AD-4A99-B936-3A67F6BF63F9}"/>
    <w:embedBold r:id="rId15" w:fontKey="{C8D72ADB-7CCE-499F-A8BA-031E1288885D}"/>
  </w:font>
  <w:font w:name="IranNastaliq">
    <w:altName w:val="Arial Unicode MS"/>
    <w:charset w:val="00"/>
    <w:family w:val="roman"/>
    <w:pitch w:val="variable"/>
    <w:sig w:usb0="00000000" w:usb1="80000000" w:usb2="00000008" w:usb3="00000000" w:csb0="000101FF" w:csb1="00000000"/>
    <w:embedRegular r:id="rId16" w:fontKey="{23424EBC-F78E-434E-9EAD-72009F93DAD9}"/>
    <w:embedBold r:id="rId17" w:fontKey="{E1BBED75-B7E7-427E-8977-5F44F6BD98FC}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  <w:embedRegular r:id="rId18" w:fontKey="{9188D3E0-DDE2-4ACC-87B0-C7044EB236E3}"/>
    <w:embedBold r:id="rId19" w:fontKey="{CD322E49-A6B5-4047-96A6-263259DD6577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20" w:fontKey="{3EAC404D-B0A2-4EAE-9B51-DCE7BFAB21C9}"/>
    <w:embedItalic r:id="rId21" w:fontKey="{FF971F42-59E0-4F57-8057-D7138C5AA057}"/>
  </w:font>
  <w:font w:name="Buxton Sketch">
    <w:altName w:val="Mistral"/>
    <w:charset w:val="00"/>
    <w:family w:val="script"/>
    <w:pitch w:val="variable"/>
    <w:sig w:usb0="00000001" w:usb1="400020DB" w:usb2="00000000" w:usb3="00000000" w:csb0="0000009F" w:csb1="00000000"/>
    <w:embedRegular r:id="rId22" w:fontKey="{95D05FE7-BF95-43AB-9091-0386F40DA61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3" w:fontKey="{6938E339-78A4-497F-B348-327D7AB6AD4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70DF0E" w14:textId="77777777" w:rsidR="00CD399F" w:rsidRDefault="00CD399F" w:rsidP="004211D4">
    <w:pPr>
      <w:pStyle w:val="Footer"/>
    </w:pPr>
  </w:p>
  <w:p w14:paraId="6C29CD3D" w14:textId="77777777" w:rsidR="00CD399F" w:rsidRDefault="00CD399F" w:rsidP="007C3B8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4ED32A" w14:textId="77777777" w:rsidR="00CD399F" w:rsidRDefault="00CD399F" w:rsidP="004211D4">
    <w:pPr>
      <w:pStyle w:val="Footer"/>
    </w:pPr>
  </w:p>
  <w:p w14:paraId="4607B3AC" w14:textId="77777777" w:rsidR="00CD399F" w:rsidRDefault="00CD399F" w:rsidP="007C3B8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9E6925" w14:textId="77777777" w:rsidR="00CD399F" w:rsidRDefault="00CD399F" w:rsidP="004211D4">
    <w:pPr>
      <w:pStyle w:val="Footer"/>
    </w:pPr>
  </w:p>
  <w:p w14:paraId="7D349DFC" w14:textId="77777777" w:rsidR="00CD399F" w:rsidRDefault="00CD399F" w:rsidP="007C3B87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3B10B9" w14:textId="77777777" w:rsidR="00CD399F" w:rsidRDefault="00CD399F" w:rsidP="004211D4">
    <w:pPr>
      <w:pStyle w:val="Footer"/>
    </w:pPr>
  </w:p>
  <w:p w14:paraId="10FD7435" w14:textId="77777777" w:rsidR="00CD399F" w:rsidRDefault="00CD399F" w:rsidP="007C3B87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65635496"/>
      <w:docPartObj>
        <w:docPartGallery w:val="Page Numbers (Bottom of Page)"/>
        <w:docPartUnique/>
      </w:docPartObj>
    </w:sdtPr>
    <w:sdtEndPr/>
    <w:sdtContent>
      <w:p w14:paraId="05D7E643" w14:textId="472948D6" w:rsidR="00CD399F" w:rsidRPr="00CE3E70" w:rsidRDefault="00CD399F" w:rsidP="00CE3E70">
        <w:pPr>
          <w:pStyle w:val="Footer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9776" behindDoc="0" locked="0" layoutInCell="1" allowOverlap="1" wp14:anchorId="24CE45BE" wp14:editId="18564991">
              <wp:simplePos x="0" y="0"/>
              <wp:positionH relativeFrom="column">
                <wp:posOffset>-435346</wp:posOffset>
              </wp:positionH>
              <wp:positionV relativeFrom="paragraph">
                <wp:posOffset>25400</wp:posOffset>
              </wp:positionV>
              <wp:extent cx="451485" cy="394335"/>
              <wp:effectExtent l="0" t="0" r="5715" b="5715"/>
              <wp:wrapNone/>
              <wp:docPr id="13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rFonts w:hint="cs"/>
            <w:noProof/>
            <w:rtl/>
          </w:rPr>
          <w:t>‌ح</w:t>
        </w:r>
        <w:r w:rsidRPr="00CE3E70">
          <w:fldChar w:fldCharType="end"/>
        </w:r>
      </w:p>
    </w:sdtContent>
  </w:sdt>
  <w:p w14:paraId="46A94945" w14:textId="77777777" w:rsidR="00CD399F" w:rsidRDefault="00CD399F" w:rsidP="007C3B87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tl/>
      </w:rPr>
      <w:id w:val="-2101713025"/>
      <w:docPartObj>
        <w:docPartGallery w:val="Page Numbers (Bottom of Page)"/>
        <w:docPartUnique/>
      </w:docPartObj>
    </w:sdtPr>
    <w:sdtEndPr/>
    <w:sdtContent>
      <w:p w14:paraId="4E4F50B0" w14:textId="0A8C86ED" w:rsidR="00CD399F" w:rsidRPr="00CE3E70" w:rsidRDefault="00CD399F" w:rsidP="00CE3E70">
        <w:pPr>
          <w:pStyle w:val="Footer"/>
          <w:bidi/>
          <w:jc w:val="right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8752" behindDoc="0" locked="0" layoutInCell="1" allowOverlap="1" wp14:anchorId="4150F45A" wp14:editId="59BAEEC5">
              <wp:simplePos x="0" y="0"/>
              <wp:positionH relativeFrom="column">
                <wp:posOffset>-454574</wp:posOffset>
              </wp:positionH>
              <wp:positionV relativeFrom="paragraph">
                <wp:posOffset>-36041</wp:posOffset>
              </wp:positionV>
              <wp:extent cx="451485" cy="394335"/>
              <wp:effectExtent l="0" t="0" r="5715" b="5715"/>
              <wp:wrapNone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noProof/>
            <w:rtl/>
          </w:rPr>
          <w:t>29</w:t>
        </w:r>
        <w:r w:rsidRPr="00CE3E70">
          <w:fldChar w:fldCharType="end"/>
        </w:r>
      </w:p>
    </w:sdtContent>
  </w:sdt>
  <w:p w14:paraId="53D757CA" w14:textId="77777777" w:rsidR="00CD399F" w:rsidRDefault="00CD399F" w:rsidP="007C3B87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6ED88A" w14:textId="77777777" w:rsidR="00CD399F" w:rsidRPr="004211D4" w:rsidRDefault="00CD399F" w:rsidP="004211D4">
    <w:pPr>
      <w:pStyle w:val="Header"/>
    </w:pPr>
    <w:r>
      <w:rPr>
        <w:noProof/>
        <w:lang w:bidi="ar-SA"/>
      </w:rPr>
      <w:drawing>
        <wp:anchor distT="0" distB="0" distL="114300" distR="114300" simplePos="0" relativeHeight="251660800" behindDoc="0" locked="0" layoutInCell="1" allowOverlap="1" wp14:anchorId="36C8BA68" wp14:editId="4DA3ED2A">
          <wp:simplePos x="0" y="0"/>
          <wp:positionH relativeFrom="column">
            <wp:posOffset>2017423</wp:posOffset>
          </wp:positionH>
          <wp:positionV relativeFrom="paragraph">
            <wp:posOffset>859582</wp:posOffset>
          </wp:positionV>
          <wp:extent cx="893929" cy="1171410"/>
          <wp:effectExtent l="0" t="0" r="190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GUlogo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929" cy="1171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2CF0266" w14:textId="61331898" w:rsidR="00CD399F" w:rsidRDefault="00D44D81" w:rsidP="00D44D81">
    <w:pPr>
      <w:pStyle w:val="Header"/>
      <w:tabs>
        <w:tab w:val="clear" w:pos="4680"/>
        <w:tab w:val="clear" w:pos="9360"/>
        <w:tab w:val="left" w:pos="3478"/>
      </w:tabs>
    </w:pPr>
    <w:r>
      <w:tab/>
    </w:r>
  </w:p>
  <w:p w14:paraId="0A9BF300" w14:textId="77777777" w:rsidR="00CD399F" w:rsidRDefault="00CD399F" w:rsidP="004211D4"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1EAC70AF"/>
    <w:multiLevelType w:val="multilevel"/>
    <w:tmpl w:val="20363D1C"/>
    <w:lvl w:ilvl="0">
      <w:start w:val="1"/>
      <w:numFmt w:val="decimal"/>
      <w:pStyle w:val="a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1">
    <w:nsid w:val="50714E98"/>
    <w:multiLevelType w:val="multilevel"/>
    <w:tmpl w:val="C34499FE"/>
    <w:lvl w:ilvl="0">
      <w:start w:val="1"/>
      <w:numFmt w:val="decimal"/>
      <w:lvlText w:val="%1."/>
      <w:lvlJc w:val="left"/>
      <w:pPr>
        <w:ind w:hanging="765" w:left="765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65" w:left="7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65" w:left="76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765" w:left="76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800" w:left="1800"/>
      </w:pPr>
      <w:rPr>
        <w:rFonts w:hint="default"/>
      </w:rPr>
    </w:lvl>
  </w:abstractNum>
  <w:abstractNum w:abstractNumId="2">
    <w:nsid w:val="51D06BC3"/>
    <w:multiLevelType w:val="multilevel"/>
    <w:tmpl w:val="B95CB32C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3">
    <w:nsid w:val="5D457A86"/>
    <w:multiLevelType w:val="multilevel"/>
    <w:tmpl w:val="6FB261A6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4">
    <w:nsid w:val="69DF5363"/>
    <w:multiLevelType w:val="hybridMultilevel"/>
    <w:tmpl w:val="6ED8C41E"/>
    <w:lvl w:ilvl="0" w:tplc="06B47CD0">
      <w:start w:val="1"/>
      <w:numFmt w:val="decimal"/>
      <w:pStyle w:val="a0"/>
      <w:lvlText w:val="%1)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7B8B69C2"/>
    <w:multiLevelType w:val="hybridMultilevel"/>
    <w:tmpl w:val="E5FA6AFC"/>
    <w:lvl w:ilvl="0" w:tplc="1CB0E894">
      <w:start w:val="1"/>
      <w:numFmt w:val="bullet"/>
      <w:pStyle w:val="a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TrueTypeFonts/>
  <w:embedSystemFonts/>
  <w:hideSpellingErrors/>
  <w:proofState w:grammar="clean"/>
  <w:stylePaneFormatFilter w:val="0004"/>
  <w:doNotTrackMoves/>
  <w:documentProtection w:enforcement="0" w:formatting="1"/>
  <w:defaultTabStop w:val="720"/>
  <w:clickAndTypeStyle w:val="a2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paswfxt9hs2xv0efdeoxrtw29w5zf9zddwxs&quot;&gt;porposal&lt;record-ids&gt;&lt;item&gt;4&lt;/item&gt;&lt;item&gt;5&lt;/item&gt;&lt;item&gt;6&lt;/item&gt;&lt;item&gt;8&lt;/item&gt;&lt;item&gt;9&lt;/item&gt;&lt;item&gt;10&lt;/item&gt;&lt;item&gt;11&lt;/item&gt;&lt;item&gt;12&lt;/item&gt;&lt;item&gt;13&lt;/item&gt;&lt;item&gt;14&lt;/item&gt;&lt;item&gt;15&lt;/item&gt;&lt;item&gt;16&lt;/item&gt;&lt;item&gt;17&lt;/item&gt;&lt;item&gt;18&lt;/item&gt;&lt;item&gt;19&lt;/item&gt;&lt;item&gt;20&lt;/item&gt;&lt;item&gt;21&lt;/item&gt;&lt;item&gt;22&lt;/item&gt;&lt;item&gt;23&lt;/item&gt;&lt;item&gt;24&lt;/item&gt;&lt;item&gt;26&lt;/item&gt;&lt;item&gt;28&lt;/item&gt;&lt;item&gt;29&lt;/item&gt;&lt;item&gt;30&lt;/item&gt;&lt;item&gt;31&lt;/item&gt;&lt;item&gt;32&lt;/item&gt;&lt;item&gt;33&lt;/item&gt;&lt;item&gt;34&lt;/item&gt;&lt;item&gt;35&lt;/item&gt;&lt;item&gt;37&lt;/item&gt;&lt;item&gt;38&lt;/item&gt;&lt;item&gt;39&lt;/item&gt;&lt;item&gt;40&lt;/item&gt;&lt;item&gt;42&lt;/item&gt;&lt;item&gt;44&lt;/item&gt;&lt;item&gt;45&lt;/item&gt;&lt;item&gt;47&lt;/item&gt;&lt;item&gt;49&lt;/item&gt;&lt;item&gt;50&lt;/item&gt;&lt;item&gt;51&lt;/item&gt;&lt;item&gt;52&lt;/item&gt;&lt;item&gt;53&lt;/item&gt;&lt;item&gt;55&lt;/item&gt;&lt;item&gt;56&lt;/item&gt;&lt;item&gt;58&lt;/item&gt;&lt;item&gt;59&lt;/item&gt;&lt;item&gt;60&lt;/item&gt;&lt;item&gt;62&lt;/item&gt;&lt;item&gt;63&lt;/item&gt;&lt;item&gt;64&lt;/item&gt;&lt;item&gt;65&lt;/item&gt;&lt;item&gt;66&lt;/item&gt;&lt;item&gt;67&lt;/item&gt;&lt;item&gt;68&lt;/item&gt;&lt;item&gt;69&lt;/item&gt;&lt;item&gt;70&lt;/item&gt;&lt;item&gt;72&lt;/item&gt;&lt;item&gt;73&lt;/item&gt;&lt;item&gt;74&lt;/item&gt;&lt;item&gt;75&lt;/item&gt;&lt;item&gt;76&lt;/item&gt;&lt;item&gt;78&lt;/item&gt;&lt;item&gt;79&lt;/item&gt;&lt;item&gt;80&lt;/item&gt;&lt;item&gt;82&lt;/item&gt;&lt;item&gt;83&lt;/item&gt;&lt;item&gt;84&lt;/item&gt;&lt;item&gt;85&lt;/item&gt;&lt;item&gt;86&lt;/item&gt;&lt;item&gt;87&lt;/item&gt;&lt;item&gt;88&lt;/item&gt;&lt;item&gt;89&lt;/item&gt;&lt;item&gt;90&lt;/item&gt;&lt;item&gt;91&lt;/item&gt;&lt;item&gt;92&lt;/item&gt;&lt;item&gt;93&lt;/item&gt;&lt;item&gt;94&lt;/item&gt;&lt;item&gt;95&lt;/item&gt;&lt;item&gt;96&lt;/item&gt;&lt;/record-ids&gt;&lt;/item&gt;&lt;/Libraries&gt;"/>
  </w:docVars>
  <w:rsids>
    <w:rsidRoot w:val="00A47E2E"/>
    <w:rsid w:val="00000C57"/>
    <w:rsid w:val="000127D7"/>
    <w:rsid w:val="0001325C"/>
    <w:rsid w:val="00013DAB"/>
    <w:rsid w:val="0001619F"/>
    <w:rsid w:val="00023EB4"/>
    <w:rsid w:val="000328BE"/>
    <w:rsid w:val="00037EC4"/>
    <w:rsid w:val="000404AB"/>
    <w:rsid w:val="00041285"/>
    <w:rsid w:val="00051A0A"/>
    <w:rsid w:val="0005400C"/>
    <w:rsid w:val="00054A81"/>
    <w:rsid w:val="000612C9"/>
    <w:rsid w:val="00070F25"/>
    <w:rsid w:val="00085B4B"/>
    <w:rsid w:val="0009760A"/>
    <w:rsid w:val="000A4045"/>
    <w:rsid w:val="000A5BF1"/>
    <w:rsid w:val="000C3214"/>
    <w:rsid w:val="000C7955"/>
    <w:rsid w:val="000D20CC"/>
    <w:rsid w:val="000E04C7"/>
    <w:rsid w:val="000F05B0"/>
    <w:rsid w:val="000F0FDE"/>
    <w:rsid w:val="000F15A1"/>
    <w:rsid w:val="000F3FAA"/>
    <w:rsid w:val="001115D0"/>
    <w:rsid w:val="00120AAC"/>
    <w:rsid w:val="001244BB"/>
    <w:rsid w:val="00130E00"/>
    <w:rsid w:val="001348AB"/>
    <w:rsid w:val="00135F91"/>
    <w:rsid w:val="00142775"/>
    <w:rsid w:val="00157B90"/>
    <w:rsid w:val="00165046"/>
    <w:rsid w:val="00172583"/>
    <w:rsid w:val="00181F07"/>
    <w:rsid w:val="001868B1"/>
    <w:rsid w:val="00190B04"/>
    <w:rsid w:val="00190C53"/>
    <w:rsid w:val="001938EF"/>
    <w:rsid w:val="00195476"/>
    <w:rsid w:val="001B4103"/>
    <w:rsid w:val="001D6161"/>
    <w:rsid w:val="001D6B74"/>
    <w:rsid w:val="001E6E30"/>
    <w:rsid w:val="001F13FF"/>
    <w:rsid w:val="001F2140"/>
    <w:rsid w:val="00200E5B"/>
    <w:rsid w:val="00206FE7"/>
    <w:rsid w:val="0021795F"/>
    <w:rsid w:val="002218C1"/>
    <w:rsid w:val="002263D5"/>
    <w:rsid w:val="002322B8"/>
    <w:rsid w:val="00241C0C"/>
    <w:rsid w:val="00252C7A"/>
    <w:rsid w:val="00257DDE"/>
    <w:rsid w:val="002642DB"/>
    <w:rsid w:val="00266705"/>
    <w:rsid w:val="00274587"/>
    <w:rsid w:val="0027626C"/>
    <w:rsid w:val="0028573D"/>
    <w:rsid w:val="00287115"/>
    <w:rsid w:val="002A60FD"/>
    <w:rsid w:val="002B2E93"/>
    <w:rsid w:val="002B5FC8"/>
    <w:rsid w:val="002B64BF"/>
    <w:rsid w:val="002C20CD"/>
    <w:rsid w:val="002C56AD"/>
    <w:rsid w:val="002D1D4A"/>
    <w:rsid w:val="002D47B7"/>
    <w:rsid w:val="002D5380"/>
    <w:rsid w:val="002D685F"/>
    <w:rsid w:val="002D75C2"/>
    <w:rsid w:val="002E2813"/>
    <w:rsid w:val="002E32C1"/>
    <w:rsid w:val="002E4F91"/>
    <w:rsid w:val="002E5533"/>
    <w:rsid w:val="002F603C"/>
    <w:rsid w:val="002F7DF3"/>
    <w:rsid w:val="003134E8"/>
    <w:rsid w:val="00323A3D"/>
    <w:rsid w:val="00324D9B"/>
    <w:rsid w:val="00331A7C"/>
    <w:rsid w:val="00342BF3"/>
    <w:rsid w:val="0034528D"/>
    <w:rsid w:val="00345CA5"/>
    <w:rsid w:val="00352519"/>
    <w:rsid w:val="003674A8"/>
    <w:rsid w:val="0037070D"/>
    <w:rsid w:val="0037532B"/>
    <w:rsid w:val="00383C4B"/>
    <w:rsid w:val="0038454E"/>
    <w:rsid w:val="0039017F"/>
    <w:rsid w:val="003A4AD2"/>
    <w:rsid w:val="003A4F5D"/>
    <w:rsid w:val="003B415D"/>
    <w:rsid w:val="003C4CA2"/>
    <w:rsid w:val="003D15E3"/>
    <w:rsid w:val="003D5397"/>
    <w:rsid w:val="003D7E73"/>
    <w:rsid w:val="003F2515"/>
    <w:rsid w:val="003F3FF3"/>
    <w:rsid w:val="003F5B1C"/>
    <w:rsid w:val="00401E05"/>
    <w:rsid w:val="004028F3"/>
    <w:rsid w:val="00405ECF"/>
    <w:rsid w:val="0041211F"/>
    <w:rsid w:val="00420798"/>
    <w:rsid w:val="004211D4"/>
    <w:rsid w:val="00422C7D"/>
    <w:rsid w:val="00431724"/>
    <w:rsid w:val="00432170"/>
    <w:rsid w:val="0043345D"/>
    <w:rsid w:val="00435399"/>
    <w:rsid w:val="00446F2E"/>
    <w:rsid w:val="0045130E"/>
    <w:rsid w:val="00454C09"/>
    <w:rsid w:val="00455315"/>
    <w:rsid w:val="0046766D"/>
    <w:rsid w:val="004679E2"/>
    <w:rsid w:val="00473434"/>
    <w:rsid w:val="00474077"/>
    <w:rsid w:val="00477ABA"/>
    <w:rsid w:val="004961C2"/>
    <w:rsid w:val="004A091A"/>
    <w:rsid w:val="004A54F9"/>
    <w:rsid w:val="004B2E44"/>
    <w:rsid w:val="004C2272"/>
    <w:rsid w:val="004C3617"/>
    <w:rsid w:val="004C670C"/>
    <w:rsid w:val="004D7FCF"/>
    <w:rsid w:val="004E11A0"/>
    <w:rsid w:val="004E1C78"/>
    <w:rsid w:val="004E2FAE"/>
    <w:rsid w:val="004E468F"/>
    <w:rsid w:val="00500042"/>
    <w:rsid w:val="005035E3"/>
    <w:rsid w:val="0050499D"/>
    <w:rsid w:val="00504DA4"/>
    <w:rsid w:val="00506A8E"/>
    <w:rsid w:val="005078CA"/>
    <w:rsid w:val="0051726F"/>
    <w:rsid w:val="005255D4"/>
    <w:rsid w:val="00527A66"/>
    <w:rsid w:val="00533FE5"/>
    <w:rsid w:val="0054167C"/>
    <w:rsid w:val="00545140"/>
    <w:rsid w:val="005461B1"/>
    <w:rsid w:val="00547D34"/>
    <w:rsid w:val="005509EE"/>
    <w:rsid w:val="00557286"/>
    <w:rsid w:val="00570FB9"/>
    <w:rsid w:val="00585549"/>
    <w:rsid w:val="00587BDD"/>
    <w:rsid w:val="00592FB7"/>
    <w:rsid w:val="00595318"/>
    <w:rsid w:val="00595E27"/>
    <w:rsid w:val="00596FC9"/>
    <w:rsid w:val="0059789C"/>
    <w:rsid w:val="005A0A20"/>
    <w:rsid w:val="005A1BC2"/>
    <w:rsid w:val="005B2BF6"/>
    <w:rsid w:val="005B6237"/>
    <w:rsid w:val="005B72DE"/>
    <w:rsid w:val="005D38C3"/>
    <w:rsid w:val="005E0B2C"/>
    <w:rsid w:val="005F0BE8"/>
    <w:rsid w:val="005F3C43"/>
    <w:rsid w:val="00601530"/>
    <w:rsid w:val="00604E56"/>
    <w:rsid w:val="0060737B"/>
    <w:rsid w:val="00630C3C"/>
    <w:rsid w:val="006313B9"/>
    <w:rsid w:val="006330D3"/>
    <w:rsid w:val="0063541A"/>
    <w:rsid w:val="0063720F"/>
    <w:rsid w:val="0064020B"/>
    <w:rsid w:val="0064150D"/>
    <w:rsid w:val="00642128"/>
    <w:rsid w:val="00643066"/>
    <w:rsid w:val="00645F1D"/>
    <w:rsid w:val="00655D08"/>
    <w:rsid w:val="006656C8"/>
    <w:rsid w:val="00673C00"/>
    <w:rsid w:val="00675050"/>
    <w:rsid w:val="00677BAA"/>
    <w:rsid w:val="00681F9E"/>
    <w:rsid w:val="0069040B"/>
    <w:rsid w:val="00697D6C"/>
    <w:rsid w:val="00697E6A"/>
    <w:rsid w:val="006A0B06"/>
    <w:rsid w:val="006B3121"/>
    <w:rsid w:val="006B5600"/>
    <w:rsid w:val="006C3E71"/>
    <w:rsid w:val="006D08C2"/>
    <w:rsid w:val="006D70D1"/>
    <w:rsid w:val="006E3A91"/>
    <w:rsid w:val="006E47C9"/>
    <w:rsid w:val="006E5CBA"/>
    <w:rsid w:val="006F2FE6"/>
    <w:rsid w:val="006F4A20"/>
    <w:rsid w:val="007026EE"/>
    <w:rsid w:val="00705F23"/>
    <w:rsid w:val="00710BEB"/>
    <w:rsid w:val="007119CE"/>
    <w:rsid w:val="00732CA2"/>
    <w:rsid w:val="00737F37"/>
    <w:rsid w:val="00743C0C"/>
    <w:rsid w:val="00746B18"/>
    <w:rsid w:val="00747982"/>
    <w:rsid w:val="00773375"/>
    <w:rsid w:val="00774A07"/>
    <w:rsid w:val="0078472A"/>
    <w:rsid w:val="00784A76"/>
    <w:rsid w:val="0078537E"/>
    <w:rsid w:val="00787648"/>
    <w:rsid w:val="0079622A"/>
    <w:rsid w:val="007A0468"/>
    <w:rsid w:val="007A31B8"/>
    <w:rsid w:val="007C0DD7"/>
    <w:rsid w:val="007C3B87"/>
    <w:rsid w:val="007C45B7"/>
    <w:rsid w:val="007C5746"/>
    <w:rsid w:val="007C66DB"/>
    <w:rsid w:val="007C6963"/>
    <w:rsid w:val="007D68CB"/>
    <w:rsid w:val="007D798E"/>
    <w:rsid w:val="007E77B1"/>
    <w:rsid w:val="007E7F01"/>
    <w:rsid w:val="007F2ACD"/>
    <w:rsid w:val="007F6273"/>
    <w:rsid w:val="008027C3"/>
    <w:rsid w:val="00804043"/>
    <w:rsid w:val="0080670B"/>
    <w:rsid w:val="0082078C"/>
    <w:rsid w:val="0082442F"/>
    <w:rsid w:val="0082658D"/>
    <w:rsid w:val="00826748"/>
    <w:rsid w:val="0083667A"/>
    <w:rsid w:val="00840737"/>
    <w:rsid w:val="00851040"/>
    <w:rsid w:val="008547CB"/>
    <w:rsid w:val="008572A6"/>
    <w:rsid w:val="00865D02"/>
    <w:rsid w:val="00874BC8"/>
    <w:rsid w:val="00885BA8"/>
    <w:rsid w:val="008901CB"/>
    <w:rsid w:val="0089337C"/>
    <w:rsid w:val="008B353A"/>
    <w:rsid w:val="008B392B"/>
    <w:rsid w:val="008C1469"/>
    <w:rsid w:val="008C4A7A"/>
    <w:rsid w:val="008C5AA0"/>
    <w:rsid w:val="008E1425"/>
    <w:rsid w:val="008E35EB"/>
    <w:rsid w:val="008E69E9"/>
    <w:rsid w:val="008F20A9"/>
    <w:rsid w:val="008F7DFB"/>
    <w:rsid w:val="0091160E"/>
    <w:rsid w:val="00913737"/>
    <w:rsid w:val="009263CE"/>
    <w:rsid w:val="00935EB3"/>
    <w:rsid w:val="0093699E"/>
    <w:rsid w:val="00955BC8"/>
    <w:rsid w:val="009565D1"/>
    <w:rsid w:val="00961E11"/>
    <w:rsid w:val="00964EED"/>
    <w:rsid w:val="00982CBA"/>
    <w:rsid w:val="00984E95"/>
    <w:rsid w:val="009852C6"/>
    <w:rsid w:val="00996FC9"/>
    <w:rsid w:val="009A0F7F"/>
    <w:rsid w:val="009A1B1F"/>
    <w:rsid w:val="009A3A9B"/>
    <w:rsid w:val="009B2EF3"/>
    <w:rsid w:val="009B5596"/>
    <w:rsid w:val="009C08FF"/>
    <w:rsid w:val="009D0D13"/>
    <w:rsid w:val="009D3826"/>
    <w:rsid w:val="009D4119"/>
    <w:rsid w:val="009D7267"/>
    <w:rsid w:val="009E220D"/>
    <w:rsid w:val="009F00DD"/>
    <w:rsid w:val="009F059B"/>
    <w:rsid w:val="009F60E1"/>
    <w:rsid w:val="009F69AA"/>
    <w:rsid w:val="00A031C0"/>
    <w:rsid w:val="00A06F62"/>
    <w:rsid w:val="00A11A50"/>
    <w:rsid w:val="00A305D2"/>
    <w:rsid w:val="00A324B4"/>
    <w:rsid w:val="00A35BA4"/>
    <w:rsid w:val="00A44D9F"/>
    <w:rsid w:val="00A45CC3"/>
    <w:rsid w:val="00A47E2E"/>
    <w:rsid w:val="00A50F20"/>
    <w:rsid w:val="00A53161"/>
    <w:rsid w:val="00A53B3C"/>
    <w:rsid w:val="00A72464"/>
    <w:rsid w:val="00A82A8E"/>
    <w:rsid w:val="00A840A8"/>
    <w:rsid w:val="00A951DA"/>
    <w:rsid w:val="00AA36EA"/>
    <w:rsid w:val="00AB649F"/>
    <w:rsid w:val="00AC05A5"/>
    <w:rsid w:val="00AD5C19"/>
    <w:rsid w:val="00AE4123"/>
    <w:rsid w:val="00AE6927"/>
    <w:rsid w:val="00AE7269"/>
    <w:rsid w:val="00AF2704"/>
    <w:rsid w:val="00B03843"/>
    <w:rsid w:val="00B03BF3"/>
    <w:rsid w:val="00B12035"/>
    <w:rsid w:val="00B15676"/>
    <w:rsid w:val="00B15845"/>
    <w:rsid w:val="00B1638F"/>
    <w:rsid w:val="00B17898"/>
    <w:rsid w:val="00B24319"/>
    <w:rsid w:val="00B257B3"/>
    <w:rsid w:val="00B31A66"/>
    <w:rsid w:val="00B3448A"/>
    <w:rsid w:val="00B429C5"/>
    <w:rsid w:val="00B43501"/>
    <w:rsid w:val="00B4735D"/>
    <w:rsid w:val="00B50FE0"/>
    <w:rsid w:val="00B52E0E"/>
    <w:rsid w:val="00B572E4"/>
    <w:rsid w:val="00B6572D"/>
    <w:rsid w:val="00B7313A"/>
    <w:rsid w:val="00B81834"/>
    <w:rsid w:val="00B87A93"/>
    <w:rsid w:val="00BA0658"/>
    <w:rsid w:val="00BA0AE1"/>
    <w:rsid w:val="00BA7A34"/>
    <w:rsid w:val="00BB43FF"/>
    <w:rsid w:val="00BC0E45"/>
    <w:rsid w:val="00BC137E"/>
    <w:rsid w:val="00BD333E"/>
    <w:rsid w:val="00BD6BD4"/>
    <w:rsid w:val="00BE15E8"/>
    <w:rsid w:val="00BE462C"/>
    <w:rsid w:val="00BE6BEE"/>
    <w:rsid w:val="00BF28CF"/>
    <w:rsid w:val="00BF3C1F"/>
    <w:rsid w:val="00C04996"/>
    <w:rsid w:val="00C05FCF"/>
    <w:rsid w:val="00C061D5"/>
    <w:rsid w:val="00C06692"/>
    <w:rsid w:val="00C0674B"/>
    <w:rsid w:val="00C160AE"/>
    <w:rsid w:val="00C245DB"/>
    <w:rsid w:val="00C265DF"/>
    <w:rsid w:val="00C3619F"/>
    <w:rsid w:val="00C42D5D"/>
    <w:rsid w:val="00C51C07"/>
    <w:rsid w:val="00C5204C"/>
    <w:rsid w:val="00C54523"/>
    <w:rsid w:val="00C66BC8"/>
    <w:rsid w:val="00C707B7"/>
    <w:rsid w:val="00C74DFB"/>
    <w:rsid w:val="00C769BC"/>
    <w:rsid w:val="00CB0ACF"/>
    <w:rsid w:val="00CB17B8"/>
    <w:rsid w:val="00CB6283"/>
    <w:rsid w:val="00CC0BE1"/>
    <w:rsid w:val="00CC234B"/>
    <w:rsid w:val="00CC3B7B"/>
    <w:rsid w:val="00CD0650"/>
    <w:rsid w:val="00CD14BA"/>
    <w:rsid w:val="00CD2361"/>
    <w:rsid w:val="00CD399F"/>
    <w:rsid w:val="00CE3E70"/>
    <w:rsid w:val="00D02C0F"/>
    <w:rsid w:val="00D051E2"/>
    <w:rsid w:val="00D125A9"/>
    <w:rsid w:val="00D13330"/>
    <w:rsid w:val="00D133F3"/>
    <w:rsid w:val="00D171FC"/>
    <w:rsid w:val="00D2569D"/>
    <w:rsid w:val="00D25E0A"/>
    <w:rsid w:val="00D327BE"/>
    <w:rsid w:val="00D34743"/>
    <w:rsid w:val="00D43CAA"/>
    <w:rsid w:val="00D44D81"/>
    <w:rsid w:val="00D518FD"/>
    <w:rsid w:val="00D54058"/>
    <w:rsid w:val="00D60452"/>
    <w:rsid w:val="00D70713"/>
    <w:rsid w:val="00D76363"/>
    <w:rsid w:val="00D772CC"/>
    <w:rsid w:val="00D86DE4"/>
    <w:rsid w:val="00D914E1"/>
    <w:rsid w:val="00D92E3E"/>
    <w:rsid w:val="00D94980"/>
    <w:rsid w:val="00DA0016"/>
    <w:rsid w:val="00DA029C"/>
    <w:rsid w:val="00DA3B94"/>
    <w:rsid w:val="00DA55BD"/>
    <w:rsid w:val="00DA5E2C"/>
    <w:rsid w:val="00DB0732"/>
    <w:rsid w:val="00DB338F"/>
    <w:rsid w:val="00DB6430"/>
    <w:rsid w:val="00DC45FF"/>
    <w:rsid w:val="00DD024B"/>
    <w:rsid w:val="00DD27EA"/>
    <w:rsid w:val="00DD3514"/>
    <w:rsid w:val="00DE1452"/>
    <w:rsid w:val="00E03ADC"/>
    <w:rsid w:val="00E07DAE"/>
    <w:rsid w:val="00E125DB"/>
    <w:rsid w:val="00E15353"/>
    <w:rsid w:val="00E204E0"/>
    <w:rsid w:val="00E30C76"/>
    <w:rsid w:val="00E46A9E"/>
    <w:rsid w:val="00E515BA"/>
    <w:rsid w:val="00E54AAF"/>
    <w:rsid w:val="00E55C3E"/>
    <w:rsid w:val="00E7329B"/>
    <w:rsid w:val="00E73847"/>
    <w:rsid w:val="00E80AFE"/>
    <w:rsid w:val="00E8171E"/>
    <w:rsid w:val="00E823FE"/>
    <w:rsid w:val="00E8354F"/>
    <w:rsid w:val="00E86E4E"/>
    <w:rsid w:val="00E968D7"/>
    <w:rsid w:val="00EA47EF"/>
    <w:rsid w:val="00EA4D30"/>
    <w:rsid w:val="00EA4F82"/>
    <w:rsid w:val="00EA6B53"/>
    <w:rsid w:val="00EB17F2"/>
    <w:rsid w:val="00ED27EB"/>
    <w:rsid w:val="00ED7970"/>
    <w:rsid w:val="00ED7A8A"/>
    <w:rsid w:val="00EE5C3B"/>
    <w:rsid w:val="00EF3060"/>
    <w:rsid w:val="00EF5C7E"/>
    <w:rsid w:val="00F04134"/>
    <w:rsid w:val="00F2047B"/>
    <w:rsid w:val="00F359A5"/>
    <w:rsid w:val="00F37F1D"/>
    <w:rsid w:val="00F470E8"/>
    <w:rsid w:val="00F539D9"/>
    <w:rsid w:val="00F54334"/>
    <w:rsid w:val="00F65381"/>
    <w:rsid w:val="00F701C2"/>
    <w:rsid w:val="00F7257D"/>
    <w:rsid w:val="00F73948"/>
    <w:rsid w:val="00F76429"/>
    <w:rsid w:val="00F820B2"/>
    <w:rsid w:val="00F8436D"/>
    <w:rsid w:val="00F94EE4"/>
    <w:rsid w:val="00F9758F"/>
    <w:rsid w:val="00FA137B"/>
    <w:rsid w:val="00FA2A07"/>
    <w:rsid w:val="00FA7A90"/>
    <w:rsid w:val="00FB0EF8"/>
    <w:rsid w:val="00FB1299"/>
    <w:rsid w:val="00FB392F"/>
    <w:rsid w:val="00FC2116"/>
    <w:rsid w:val="00FC3DDF"/>
    <w:rsid w:val="00FC4700"/>
    <w:rsid w:val="00FC53C1"/>
    <w:rsid w:val="00FC7842"/>
    <w:rsid w:val="00FD2CF9"/>
    <w:rsid w:val="00FD6F91"/>
    <w:rsid w:val="00FE4B38"/>
    <w:rsid w:val="00FE79E7"/>
    <w:rsid w:val="00FF00A7"/>
    <w:rsid w:val="00FF1712"/>
    <w:rsid w:val="00FF4035"/>
    <w:rsid w:val="00FF4AD3"/>
    <w:rsid w:val="00FF6B20"/>
    <w:rsid w:val="00FF75A4"/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B Mitra" w:eastAsiaTheme="minorHAnsi" w:hAnsi="Times New Roman"/>
        <w:sz w:val="22"/>
        <w:szCs w:val="24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874BC8"/>
    <w:rPr>
      <w:lang w:bidi="fa-IR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a2" w:type="paragraph">
    <w:name w:val="متن عادی پایان نامه"/>
    <w:basedOn w:val="Normal"/>
    <w:link w:val="Char"/>
    <w:qFormat/>
    <w:rsid w:val="00D70713"/>
    <w:pPr>
      <w:bidi/>
      <w:spacing w:line="240" w:lineRule="auto"/>
      <w:jc w:val="both"/>
    </w:pPr>
    <w:rPr>
      <w:rFonts w:cs="B Nazanin"/>
    </w:rPr>
  </w:style>
  <w:style w:customStyle="1" w:styleId="a3" w:type="paragraph">
    <w:name w:val="نام دانشکده روی جلد فارسی"/>
    <w:basedOn w:val="a2"/>
    <w:qFormat/>
    <w:rsid w:val="00732CA2"/>
    <w:pPr>
      <w:spacing w:after="120" w:before="480"/>
      <w:jc w:val="center"/>
    </w:pPr>
    <w:rPr>
      <w:rFonts w:cs="B Kourosh"/>
      <w:szCs w:val="36"/>
    </w:rPr>
  </w:style>
  <w:style w:styleId="Header" w:type="paragraph">
    <w:name w:val="header"/>
    <w:basedOn w:val="Normal"/>
    <w:link w:val="Head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732CA2"/>
  </w:style>
  <w:style w:styleId="Footer" w:type="paragraph">
    <w:name w:val="footer"/>
    <w:basedOn w:val="Normal"/>
    <w:link w:val="Foot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732CA2"/>
  </w:style>
  <w:style w:styleId="BalloonText" w:type="paragraph">
    <w:name w:val="Balloon Text"/>
    <w:basedOn w:val="Normal"/>
    <w:link w:val="BalloonTextChar"/>
    <w:uiPriority w:val="99"/>
    <w:semiHidden/>
    <w:unhideWhenUsed/>
    <w:rsid w:val="00732CA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732CA2"/>
    <w:rPr>
      <w:rFonts w:ascii="Tahoma" w:cs="Tahoma" w:hAnsi="Tahoma"/>
      <w:sz w:val="16"/>
      <w:szCs w:val="16"/>
    </w:rPr>
  </w:style>
  <w:style w:customStyle="1" w:styleId="a4" w:type="paragraph">
    <w:name w:val="نام گروه آموزشی روی جلد فارسی"/>
    <w:basedOn w:val="a3"/>
    <w:qFormat/>
    <w:rsid w:val="00732CA2"/>
    <w:pPr>
      <w:spacing w:before="0"/>
    </w:pPr>
  </w:style>
  <w:style w:customStyle="1" w:styleId="a5" w:type="paragraph">
    <w:name w:val="عنوان پایان نامه روی جلد فارسی"/>
    <w:basedOn w:val="a3"/>
    <w:qFormat/>
    <w:rsid w:val="00732CA2"/>
    <w:pPr>
      <w:spacing w:after="1080" w:before="960"/>
      <w:contextualSpacing/>
    </w:pPr>
    <w:rPr>
      <w:rFonts w:cs="B Titr"/>
      <w:bCs/>
      <w:szCs w:val="48"/>
    </w:rPr>
  </w:style>
  <w:style w:customStyle="1" w:styleId="a6" w:type="paragraph">
    <w:name w:val="عنوان دانشکو و استاد راهنما روی جلد فارسی"/>
    <w:basedOn w:val="a3"/>
    <w:qFormat/>
    <w:rsid w:val="00732CA2"/>
  </w:style>
  <w:style w:customStyle="1" w:styleId="a7" w:type="paragraph">
    <w:name w:val="نام دانشجو و استاد راهنما روی جلد فارسی"/>
    <w:basedOn w:val="a3"/>
    <w:qFormat/>
    <w:rsid w:val="00732CA2"/>
    <w:pPr>
      <w:spacing w:before="0"/>
    </w:pPr>
  </w:style>
  <w:style w:customStyle="1" w:styleId="a8" w:type="paragraph">
    <w:name w:val="تاریخ روی جلد فارسی"/>
    <w:basedOn w:val="a3"/>
    <w:qFormat/>
    <w:rsid w:val="00732CA2"/>
    <w:pPr>
      <w:spacing w:after="0" w:before="960"/>
    </w:pPr>
  </w:style>
  <w:style w:styleId="TableGrid" w:type="table">
    <w:name w:val="Table Grid"/>
    <w:basedOn w:val="TableNormal"/>
    <w:uiPriority w:val="59"/>
    <w:rsid w:val="00865D02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a9" w:type="paragraph">
    <w:name w:val="به نام خدا در صفحه سوم"/>
    <w:basedOn w:val="a2"/>
    <w:qFormat/>
    <w:rsid w:val="001F13FF"/>
    <w:pPr>
      <w:spacing w:after="600" w:before="600"/>
      <w:jc w:val="center"/>
    </w:pPr>
    <w:rPr>
      <w:rFonts w:cs="IranNastaliq"/>
      <w:szCs w:val="36"/>
    </w:rPr>
  </w:style>
  <w:style w:customStyle="1" w:styleId="aa" w:type="paragraph">
    <w:name w:val="عنوان پایان نامه در صفحه سوم"/>
    <w:basedOn w:val="a2"/>
    <w:qFormat/>
    <w:rsid w:val="001F13FF"/>
    <w:pPr>
      <w:spacing w:after="600"/>
      <w:jc w:val="center"/>
    </w:pPr>
    <w:rPr>
      <w:rFonts w:cs="B Titr"/>
      <w:bCs/>
      <w:szCs w:val="32"/>
    </w:rPr>
  </w:style>
  <w:style w:customStyle="1" w:styleId="ab" w:type="paragraph">
    <w:name w:val="متن صفحه سوم"/>
    <w:basedOn w:val="a2"/>
    <w:qFormat/>
    <w:rsid w:val="001F13FF"/>
    <w:pPr>
      <w:spacing w:after="240"/>
      <w:jc w:val="center"/>
    </w:pPr>
    <w:rPr>
      <w:szCs w:val="28"/>
    </w:rPr>
  </w:style>
  <w:style w:customStyle="1" w:styleId="ac" w:type="paragraph">
    <w:name w:val="استادان داور صفحه سوم"/>
    <w:basedOn w:val="a2"/>
    <w:qFormat/>
    <w:rsid w:val="001F13FF"/>
    <w:pPr>
      <w:spacing w:after="120" w:before="120"/>
      <w:jc w:val="left"/>
    </w:pPr>
    <w:rPr>
      <w:szCs w:val="28"/>
    </w:rPr>
  </w:style>
  <w:style w:customStyle="1" w:styleId="ad" w:type="paragraph">
    <w:name w:val="متن صفحه سپاسگزاری"/>
    <w:basedOn w:val="a2"/>
    <w:qFormat/>
    <w:rsid w:val="009E220D"/>
    <w:pPr>
      <w:spacing w:after="240"/>
      <w:ind w:left="1134" w:right="1134"/>
    </w:pPr>
    <w:rPr>
      <w:rFonts w:cs="IranNastaliq"/>
      <w:sz w:val="24"/>
      <w:szCs w:val="36"/>
    </w:rPr>
  </w:style>
  <w:style w:customStyle="1" w:styleId="ae" w:type="paragraph">
    <w:name w:val="عنوان چکیده فارسی"/>
    <w:basedOn w:val="a2"/>
    <w:qFormat/>
    <w:rsid w:val="00AB649F"/>
    <w:pPr>
      <w:spacing w:after="240" w:before="1080"/>
      <w:jc w:val="center"/>
    </w:pPr>
    <w:rPr>
      <w:bCs/>
      <w:szCs w:val="32"/>
    </w:rPr>
  </w:style>
  <w:style w:customStyle="1" w:styleId="af" w:type="paragraph">
    <w:name w:val="متن چکیده"/>
    <w:basedOn w:val="a2"/>
    <w:qFormat/>
    <w:rsid w:val="001938EF"/>
    <w:pPr>
      <w:ind w:left="567" w:right="567"/>
    </w:pPr>
  </w:style>
  <w:style w:customStyle="1" w:styleId="af0" w:type="paragraph">
    <w:name w:val="عنوان فهرست‏ها"/>
    <w:basedOn w:val="ae"/>
    <w:qFormat/>
    <w:rsid w:val="00AB649F"/>
    <w:pPr>
      <w:keepNext/>
      <w:spacing w:before="720"/>
    </w:pPr>
  </w:style>
  <w:style w:customStyle="1" w:styleId="1" w:type="paragraph">
    <w:name w:val="عنوان بخش 1"/>
    <w:basedOn w:val="a2"/>
    <w:qFormat/>
    <w:rsid w:val="00B1638F"/>
    <w:pPr>
      <w:keepNext/>
      <w:spacing w:after="240" w:before="240"/>
      <w:jc w:val="left"/>
      <w:outlineLvl w:val="1"/>
    </w:pPr>
    <w:rPr>
      <w:b/>
      <w:bCs/>
      <w:sz w:val="28"/>
      <w:szCs w:val="32"/>
    </w:rPr>
  </w:style>
  <w:style w:customStyle="1" w:styleId="2" w:type="paragraph">
    <w:name w:val="عنوان بخش 2"/>
    <w:basedOn w:val="1"/>
    <w:qFormat/>
    <w:rsid w:val="00B1638F"/>
    <w:pPr>
      <w:spacing w:after="120"/>
      <w:outlineLvl w:val="2"/>
    </w:pPr>
    <w:rPr>
      <w:sz w:val="24"/>
      <w:szCs w:val="28"/>
    </w:rPr>
  </w:style>
  <w:style w:customStyle="1" w:styleId="3" w:type="paragraph">
    <w:name w:val="عنوان بخش 3"/>
    <w:basedOn w:val="2"/>
    <w:qFormat/>
    <w:rsid w:val="006D08C2"/>
    <w:pPr>
      <w:spacing w:before="120"/>
      <w:outlineLvl w:val="3"/>
    </w:pPr>
    <w:rPr>
      <w:i/>
      <w:iCs/>
      <w:sz w:val="22"/>
      <w:szCs w:val="24"/>
    </w:rPr>
  </w:style>
  <w:style w:customStyle="1" w:styleId="a1" w:type="paragraph">
    <w:name w:val="فهرست نقطه دار فارسی"/>
    <w:basedOn w:val="a2"/>
    <w:qFormat/>
    <w:rsid w:val="00B15845"/>
    <w:pPr>
      <w:numPr>
        <w:numId w:val="1"/>
      </w:numPr>
      <w:ind w:hanging="284" w:left="568"/>
      <w:contextualSpacing/>
      <w:jc w:val="left"/>
    </w:pPr>
  </w:style>
  <w:style w:customStyle="1" w:styleId="a0" w:type="paragraph">
    <w:name w:val="فهرست شماره دار فارسی"/>
    <w:basedOn w:val="a2"/>
    <w:qFormat/>
    <w:rsid w:val="00B15845"/>
    <w:pPr>
      <w:numPr>
        <w:numId w:val="2"/>
      </w:numPr>
      <w:ind w:hanging="284" w:left="568"/>
      <w:contextualSpacing/>
      <w:jc w:val="left"/>
    </w:pPr>
  </w:style>
  <w:style w:customStyle="1" w:styleId="af1" w:type="character">
    <w:name w:val="متن عادی ایتالیک"/>
    <w:basedOn w:val="DefaultParagraphFont"/>
    <w:uiPriority w:val="1"/>
    <w:qFormat/>
    <w:rsid w:val="00B15845"/>
    <w:rPr>
      <w:i/>
      <w:iCs/>
    </w:rPr>
  </w:style>
  <w:style w:customStyle="1" w:styleId="af2" w:type="character">
    <w:name w:val="متن پررنگ شده عادی"/>
    <w:basedOn w:val="DefaultParagraphFont"/>
    <w:uiPriority w:val="1"/>
    <w:qFormat/>
    <w:rsid w:val="00B15845"/>
    <w:rPr>
      <w:b/>
      <w:bCs/>
    </w:rPr>
  </w:style>
  <w:style w:customStyle="1" w:styleId="af3" w:type="character">
    <w:name w:val="متن زیرخط دار عادی"/>
    <w:basedOn w:val="DefaultParagraphFont"/>
    <w:uiPriority w:val="1"/>
    <w:qFormat/>
    <w:rsid w:val="00257DDE"/>
    <w:rPr>
      <w:u w:val="single"/>
    </w:rPr>
  </w:style>
  <w:style w:customStyle="1" w:styleId="af4" w:type="character">
    <w:name w:val="متن زیر خط دار ایتالیک عادی"/>
    <w:basedOn w:val="DefaultParagraphFont"/>
    <w:uiPriority w:val="1"/>
    <w:qFormat/>
    <w:rsid w:val="00257DDE"/>
    <w:rPr>
      <w:i/>
      <w:iCs/>
      <w:u w:val="single"/>
    </w:rPr>
  </w:style>
  <w:style w:customStyle="1" w:styleId="af5" w:type="character">
    <w:name w:val="متن ریز در متن عادی"/>
    <w:basedOn w:val="DefaultParagraphFont"/>
    <w:uiPriority w:val="1"/>
    <w:qFormat/>
    <w:rsid w:val="00257DDE"/>
    <w:rPr>
      <w:sz w:val="18"/>
      <w:szCs w:val="20"/>
    </w:rPr>
  </w:style>
  <w:style w:customStyle="1" w:styleId="Char" w:type="character">
    <w:name w:val="متن عادی پایان نامه Char"/>
    <w:basedOn w:val="DefaultParagraphFont"/>
    <w:link w:val="a2"/>
    <w:rsid w:val="00D70713"/>
    <w:rPr>
      <w:rFonts w:cs="B Nazanin"/>
    </w:rPr>
  </w:style>
  <w:style w:customStyle="1" w:styleId="af6" w:type="paragraph">
    <w:name w:val="متن زیرنویس فارسی"/>
    <w:basedOn w:val="a2"/>
    <w:qFormat/>
    <w:rsid w:val="00257DDE"/>
    <w:pPr>
      <w:spacing w:after="0"/>
      <w:jc w:val="left"/>
    </w:pPr>
    <w:rPr>
      <w:sz w:val="18"/>
      <w:szCs w:val="20"/>
    </w:rPr>
  </w:style>
  <w:style w:customStyle="1" w:styleId="af7" w:type="paragraph">
    <w:name w:val="متن زیرنویس انگلیسی"/>
    <w:basedOn w:val="af6"/>
    <w:qFormat/>
    <w:rsid w:val="00257DDE"/>
    <w:pPr>
      <w:bidi w:val="0"/>
    </w:pPr>
    <w:rPr>
      <w:sz w:val="20"/>
    </w:rPr>
  </w:style>
  <w:style w:customStyle="1" w:styleId="af8" w:type="paragraph">
    <w:name w:val="متن راست چین جدول"/>
    <w:basedOn w:val="a2"/>
    <w:qFormat/>
    <w:rsid w:val="00B7313A"/>
    <w:pPr>
      <w:spacing w:after="0"/>
      <w:jc w:val="left"/>
    </w:pPr>
    <w:rPr>
      <w:sz w:val="20"/>
      <w:szCs w:val="22"/>
    </w:rPr>
  </w:style>
  <w:style w:customStyle="1" w:styleId="af9" w:type="paragraph">
    <w:name w:val="متن میان چین جدول"/>
    <w:basedOn w:val="af8"/>
    <w:qFormat/>
    <w:rsid w:val="00B7313A"/>
    <w:pPr>
      <w:jc w:val="center"/>
    </w:pPr>
  </w:style>
  <w:style w:customStyle="1" w:styleId="afa" w:type="paragraph">
    <w:name w:val="متن چپ چین جدول"/>
    <w:basedOn w:val="af8"/>
    <w:qFormat/>
    <w:rsid w:val="00B7313A"/>
    <w:pPr>
      <w:jc w:val="right"/>
    </w:pPr>
  </w:style>
  <w:style w:customStyle="1" w:styleId="afb" w:type="paragraph">
    <w:name w:val="سرستون راست چین جدول"/>
    <w:basedOn w:val="af8"/>
    <w:qFormat/>
    <w:rsid w:val="005E0B2C"/>
    <w:rPr>
      <w:b/>
      <w:bCs/>
    </w:rPr>
  </w:style>
  <w:style w:customStyle="1" w:styleId="afc" w:type="paragraph">
    <w:name w:val="سرستون میان چین جدول"/>
    <w:basedOn w:val="afb"/>
    <w:qFormat/>
    <w:rsid w:val="005E0B2C"/>
    <w:pPr>
      <w:jc w:val="center"/>
    </w:pPr>
  </w:style>
  <w:style w:customStyle="1" w:styleId="afd" w:type="paragraph">
    <w:name w:val="سرستون چپ چین جدول"/>
    <w:basedOn w:val="afb"/>
    <w:qFormat/>
    <w:rsid w:val="005E0B2C"/>
    <w:pPr>
      <w:jc w:val="right"/>
    </w:pPr>
  </w:style>
  <w:style w:customStyle="1" w:styleId="afe" w:type="paragraph">
    <w:name w:val="عنوان و شرح جدول"/>
    <w:basedOn w:val="a2"/>
    <w:qFormat/>
    <w:rsid w:val="005E0B2C"/>
    <w:pPr>
      <w:spacing w:after="0" w:before="240"/>
      <w:contextualSpacing/>
      <w:jc w:val="center"/>
    </w:pPr>
    <w:rPr>
      <w:b/>
      <w:bCs/>
      <w:sz w:val="20"/>
      <w:szCs w:val="20"/>
    </w:rPr>
  </w:style>
  <w:style w:customStyle="1" w:styleId="aff" w:type="paragraph">
    <w:name w:val="عنوان و شرح شکل"/>
    <w:basedOn w:val="afe"/>
    <w:qFormat/>
    <w:rsid w:val="005E0B2C"/>
    <w:pPr>
      <w:spacing w:after="240" w:before="0"/>
    </w:pPr>
  </w:style>
  <w:style w:customStyle="1" w:styleId="a" w:type="paragraph">
    <w:name w:val="متن صفحه عنوان فصل"/>
    <w:basedOn w:val="a2"/>
    <w:qFormat/>
    <w:rsid w:val="00D70713"/>
    <w:pPr>
      <w:pageBreakBefore/>
      <w:numPr>
        <w:numId w:val="6"/>
      </w:numPr>
      <w:spacing w:after="0" w:before="10080"/>
      <w:jc w:val="right"/>
      <w:outlineLvl w:val="0"/>
    </w:pPr>
    <w:rPr>
      <w:rFonts w:cs="B Titr"/>
      <w:bCs/>
      <w:sz w:val="48"/>
      <w:szCs w:val="52"/>
    </w:rPr>
  </w:style>
  <w:style w:customStyle="1" w:styleId="aff0" w:type="paragraph">
    <w:name w:val="منابع انگلیسی"/>
    <w:basedOn w:val="a2"/>
    <w:qFormat/>
    <w:rsid w:val="003F3FF3"/>
    <w:pPr>
      <w:bidi w:val="0"/>
      <w:jc w:val="left"/>
    </w:pPr>
  </w:style>
  <w:style w:customStyle="1" w:styleId="aff1" w:type="paragraph">
    <w:name w:val="منابع فارسی"/>
    <w:basedOn w:val="a2"/>
    <w:qFormat/>
    <w:rsid w:val="003F3FF3"/>
    <w:pPr>
      <w:jc w:val="left"/>
    </w:pPr>
  </w:style>
  <w:style w:styleId="Hyperlink" w:type="character">
    <w:name w:val="Hyperlink"/>
    <w:basedOn w:val="DefaultParagraphFont"/>
    <w:uiPriority w:val="99"/>
    <w:unhideWhenUsed/>
    <w:rsid w:val="004E468F"/>
    <w:rPr>
      <w:color w:themeColor="hyperlink" w:val="0000FF"/>
      <w:u w:val="single"/>
    </w:rPr>
  </w:style>
  <w:style w:styleId="TOC1" w:type="paragraph">
    <w:name w:val="toc 1"/>
    <w:basedOn w:val="a2"/>
    <w:next w:val="Normal"/>
    <w:autoRedefine/>
    <w:uiPriority w:val="39"/>
    <w:unhideWhenUsed/>
    <w:rsid w:val="004E468F"/>
    <w:pPr>
      <w:spacing w:after="100"/>
    </w:pPr>
    <w:rPr>
      <w:b/>
      <w:bCs/>
      <w:sz w:val="24"/>
      <w:szCs w:val="28"/>
    </w:rPr>
  </w:style>
  <w:style w:styleId="TOC2" w:type="paragraph">
    <w:name w:val="toc 2"/>
    <w:basedOn w:val="a2"/>
    <w:next w:val="Normal"/>
    <w:autoRedefine/>
    <w:uiPriority w:val="39"/>
    <w:unhideWhenUsed/>
    <w:rsid w:val="004E468F"/>
    <w:pPr>
      <w:spacing w:after="100"/>
      <w:ind w:left="220"/>
    </w:pPr>
    <w:rPr>
      <w:b/>
      <w:bCs/>
    </w:rPr>
  </w:style>
  <w:style w:styleId="TOC3" w:type="paragraph">
    <w:name w:val="toc 3"/>
    <w:basedOn w:val="a2"/>
    <w:next w:val="Normal"/>
    <w:autoRedefine/>
    <w:uiPriority w:val="39"/>
    <w:unhideWhenUsed/>
    <w:rsid w:val="004E468F"/>
    <w:pPr>
      <w:spacing w:after="100"/>
      <w:ind w:left="440"/>
    </w:pPr>
    <w:rPr>
      <w:b/>
      <w:bCs/>
      <w:i/>
      <w:iCs/>
      <w:szCs w:val="22"/>
    </w:rPr>
  </w:style>
  <w:style w:styleId="TOC4" w:type="paragraph">
    <w:name w:val="toc 4"/>
    <w:basedOn w:val="a2"/>
    <w:next w:val="Normal"/>
    <w:autoRedefine/>
    <w:uiPriority w:val="39"/>
    <w:unhideWhenUsed/>
    <w:rsid w:val="004E468F"/>
    <w:pPr>
      <w:spacing w:after="100"/>
      <w:ind w:left="660"/>
    </w:pPr>
    <w:rPr>
      <w:i/>
      <w:iCs/>
      <w:szCs w:val="22"/>
    </w:rPr>
  </w:style>
  <w:style w:styleId="Caption" w:type="paragraph">
    <w:name w:val="caption"/>
    <w:basedOn w:val="Normal"/>
    <w:next w:val="Normal"/>
    <w:uiPriority w:val="35"/>
    <w:unhideWhenUsed/>
    <w:qFormat/>
    <w:rsid w:val="004E468F"/>
    <w:pPr>
      <w:spacing w:line="240" w:lineRule="auto"/>
    </w:pPr>
    <w:rPr>
      <w:b/>
      <w:bCs/>
      <w:color w:themeColor="accent1" w:val="4F81BD"/>
      <w:sz w:val="18"/>
      <w:szCs w:val="18"/>
    </w:rPr>
  </w:style>
  <w:style w:styleId="TableofFigures" w:type="paragraph">
    <w:name w:val="table of figures"/>
    <w:basedOn w:val="a2"/>
    <w:next w:val="Normal"/>
    <w:uiPriority w:val="99"/>
    <w:unhideWhenUsed/>
    <w:rsid w:val="004E468F"/>
    <w:pPr>
      <w:spacing w:after="0"/>
    </w:pPr>
  </w:style>
  <w:style w:customStyle="1" w:styleId="aff2" w:type="paragraph">
    <w:name w:val="عنوان سپاسگزاری"/>
    <w:basedOn w:val="ad"/>
    <w:qFormat/>
    <w:rsid w:val="002E2813"/>
    <w:pPr>
      <w:spacing w:before="840"/>
      <w:jc w:val="center"/>
    </w:pPr>
    <w:rPr>
      <w:bCs/>
      <w:szCs w:val="56"/>
    </w:rPr>
  </w:style>
  <w:style w:customStyle="1" w:styleId="aff3" w:type="paragraph">
    <w:name w:val="نام دانشجو در سفحه سپاسگزاری"/>
    <w:basedOn w:val="ad"/>
    <w:qFormat/>
    <w:rsid w:val="002E2813"/>
    <w:pPr>
      <w:spacing w:after="0" w:before="360"/>
      <w:contextualSpacing/>
      <w:jc w:val="right"/>
    </w:pPr>
  </w:style>
  <w:style w:customStyle="1" w:styleId="aff4" w:type="paragraph">
    <w:name w:val="متن جکیده انگلیسی"/>
    <w:basedOn w:val="Normal"/>
    <w:qFormat/>
    <w:rsid w:val="0037070D"/>
    <w:pPr>
      <w:spacing w:line="240" w:lineRule="auto"/>
      <w:jc w:val="both"/>
    </w:pPr>
    <w:rPr>
      <w:sz w:val="24"/>
      <w:lang w:val="en-GB"/>
    </w:rPr>
  </w:style>
  <w:style w:customStyle="1" w:styleId="aff5" w:type="character">
    <w:name w:val="متن چکیده پررنگ"/>
    <w:basedOn w:val="DefaultParagraphFont"/>
    <w:uiPriority w:val="1"/>
    <w:qFormat/>
    <w:rsid w:val="0037070D"/>
    <w:rPr>
      <w:b/>
      <w:bCs/>
    </w:rPr>
  </w:style>
  <w:style w:customStyle="1" w:styleId="aff6" w:type="paragraph">
    <w:name w:val="عنوان پایان نامه در صفحه چکیده انگلیسی"/>
    <w:basedOn w:val="aff4"/>
    <w:qFormat/>
    <w:rsid w:val="0037070D"/>
    <w:pPr>
      <w:spacing w:after="240"/>
      <w:contextualSpacing/>
      <w:jc w:val="center"/>
    </w:pPr>
    <w:rPr>
      <w:b/>
      <w:bCs/>
      <w:sz w:val="28"/>
      <w:szCs w:val="32"/>
    </w:rPr>
  </w:style>
  <w:style w:customStyle="1" w:styleId="aff7" w:type="paragraph">
    <w:name w:val="نام دانشجو در صفحه چکیده انگلیسی"/>
    <w:basedOn w:val="aff6"/>
    <w:qFormat/>
    <w:rsid w:val="0037070D"/>
    <w:pPr>
      <w:spacing w:after="360"/>
    </w:pPr>
    <w:rPr>
      <w:bCs w:val="0"/>
      <w:sz w:val="24"/>
      <w:szCs w:val="24"/>
    </w:rPr>
  </w:style>
  <w:style w:customStyle="1" w:styleId="aff8" w:type="paragraph">
    <w:name w:val="عنوان پایان نامه در صفحه جلد انگلیسی"/>
    <w:basedOn w:val="aff6"/>
    <w:qFormat/>
    <w:rsid w:val="002F603C"/>
    <w:pPr>
      <w:spacing w:after="360" w:before="480"/>
    </w:pPr>
    <w:rPr>
      <w:bCs w:val="0"/>
    </w:rPr>
  </w:style>
  <w:style w:customStyle="1" w:styleId="aff9" w:type="paragraph">
    <w:name w:val="نام رشته و گرایش دانشجو در صفحه داخلی انگلیسی"/>
    <w:basedOn w:val="Normal"/>
    <w:qFormat/>
    <w:rsid w:val="002F603C"/>
    <w:pPr>
      <w:spacing w:after="240" w:line="240" w:lineRule="auto"/>
      <w:jc w:val="center"/>
    </w:pPr>
    <w:rPr>
      <w:b/>
      <w:bCs/>
      <w:sz w:val="24"/>
      <w:szCs w:val="28"/>
    </w:rPr>
  </w:style>
  <w:style w:customStyle="1" w:styleId="affa" w:type="paragraph">
    <w:name w:val="عنوان پایان نامه بر روی جلد انگلیسی"/>
    <w:basedOn w:val="Normal"/>
    <w:qFormat/>
    <w:rsid w:val="002F603C"/>
    <w:pPr>
      <w:spacing w:after="600" w:before="1200" w:line="240" w:lineRule="auto"/>
      <w:jc w:val="center"/>
    </w:pPr>
    <w:rPr>
      <w:rFonts w:ascii="Eras Bold ITC" w:cs="Times New Roman" w:eastAsia="Times New Roman" w:hAnsi="Eras Bold ITC"/>
      <w:b/>
      <w:bCs/>
      <w:sz w:val="28"/>
      <w:szCs w:val="32"/>
    </w:rPr>
  </w:style>
  <w:style w:customStyle="1" w:styleId="affb" w:type="paragraph">
    <w:name w:val="نام دانشجو بر روی جلد انگلیسی"/>
    <w:basedOn w:val="Normal"/>
    <w:qFormat/>
    <w:rsid w:val="006F2FE6"/>
    <w:pPr>
      <w:spacing w:after="1200" w:line="240" w:lineRule="auto"/>
      <w:jc w:val="center"/>
    </w:pPr>
    <w:rPr>
      <w:b/>
      <w:bCs/>
    </w:rPr>
  </w:style>
  <w:style w:customStyle="1" w:styleId="affc" w:type="paragraph">
    <w:name w:val="نام راهنما بر روی جلد انگلیسی"/>
    <w:basedOn w:val="Normal"/>
    <w:qFormat/>
    <w:rsid w:val="002F603C"/>
    <w:pPr>
      <w:spacing w:after="720" w:line="240" w:lineRule="auto"/>
      <w:jc w:val="center"/>
    </w:pPr>
    <w:rPr>
      <w:b/>
      <w:bCs/>
    </w:rPr>
  </w:style>
  <w:style w:customStyle="1" w:styleId="affd" w:type="paragraph">
    <w:name w:val="نام رشته بر روی جلد انگلیسی"/>
    <w:basedOn w:val="Normal"/>
    <w:qFormat/>
    <w:rsid w:val="002F603C"/>
    <w:pPr>
      <w:spacing w:after="0" w:line="240" w:lineRule="auto"/>
      <w:jc w:val="center"/>
    </w:pPr>
    <w:rPr>
      <w:b/>
      <w:bCs/>
    </w:rPr>
  </w:style>
  <w:style w:customStyle="1" w:styleId="affe" w:type="paragraph">
    <w:name w:val="متن انگلیسی میان چین"/>
    <w:basedOn w:val="Normal"/>
    <w:qFormat/>
    <w:rsid w:val="006F2FE6"/>
    <w:pPr>
      <w:spacing w:line="240" w:lineRule="auto"/>
      <w:jc w:val="center"/>
    </w:pPr>
    <w:rPr>
      <w:rFonts w:cs="Times New Roman"/>
    </w:rPr>
  </w:style>
  <w:style w:customStyle="1" w:styleId="afff" w:type="paragraph">
    <w:name w:val="نام داوران به انگلیسی"/>
    <w:basedOn w:val="affe"/>
    <w:qFormat/>
    <w:rsid w:val="00BE462C"/>
    <w:pPr>
      <w:spacing w:after="0"/>
      <w:jc w:val="left"/>
    </w:pPr>
  </w:style>
  <w:style w:customStyle="1" w:styleId="afff0" w:type="paragraph">
    <w:name w:val="متن عادی هایلات شده"/>
    <w:basedOn w:val="a2"/>
    <w:qFormat/>
    <w:rsid w:val="00787648"/>
  </w:style>
  <w:style w:styleId="EndnoteText" w:type="paragraph">
    <w:name w:val="endnote text"/>
    <w:basedOn w:val="Normal"/>
    <w:link w:val="End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F820B2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F820B2"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F820B2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F820B2"/>
    <w:rPr>
      <w:vertAlign w:val="superscript"/>
    </w:rPr>
  </w:style>
  <w:style w:styleId="PlaceholderText" w:type="character">
    <w:name w:val="Placeholder Text"/>
    <w:basedOn w:val="DefaultParagraphFont"/>
    <w:uiPriority w:val="99"/>
    <w:semiHidden/>
    <w:rsid w:val="004C670C"/>
    <w:rPr>
      <w:color w:val="808080"/>
    </w:rPr>
  </w:style>
  <w:style w:customStyle="1" w:styleId="EndNoteBibliography" w:type="paragraph">
    <w:name w:val="EndNote Bibliography"/>
    <w:basedOn w:val="Normal"/>
    <w:link w:val="EndNoteBibliographyChar"/>
    <w:rsid w:val="000C7955"/>
    <w:pPr>
      <w:bidi/>
      <w:spacing w:after="0" w:line="240" w:lineRule="auto"/>
      <w:jc w:val="right"/>
    </w:pPr>
    <w:rPr>
      <w:rFonts w:cs="Times New Roman" w:eastAsia="Times New Roman"/>
      <w:noProof/>
    </w:rPr>
  </w:style>
  <w:style w:customStyle="1" w:styleId="EndNoteBibliographyChar" w:type="character">
    <w:name w:val="EndNote Bibliography Char"/>
    <w:link w:val="EndNoteBibliography"/>
    <w:rsid w:val="000C7955"/>
    <w:rPr>
      <w:rFonts w:cs="Times New Roman" w:eastAsia="Times New Roman"/>
      <w:noProof/>
    </w:rPr>
  </w:style>
  <w:style w:customStyle="1" w:styleId="EndNoteBibliographyTitle" w:type="paragraph">
    <w:name w:val="EndNote Bibliography Title"/>
    <w:basedOn w:val="Normal"/>
    <w:link w:val="EndNoteBibliographyTitleChar"/>
    <w:rsid w:val="008B353A"/>
    <w:pPr>
      <w:spacing w:after="0"/>
      <w:jc w:val="center"/>
    </w:pPr>
    <w:rPr>
      <w:rFonts w:cs="Times New Roman"/>
      <w:noProof/>
    </w:rPr>
  </w:style>
  <w:style w:customStyle="1" w:styleId="EndNoteBibliographyTitleChar" w:type="character">
    <w:name w:val="EndNote Bibliography Title Char"/>
    <w:basedOn w:val="Char"/>
    <w:link w:val="EndNoteBibliographyTitle"/>
    <w:rsid w:val="008B353A"/>
    <w:rPr>
      <w:rFonts w:cs="Times New Roman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8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7" Target="numbering.xml" /><Relationship Type="http://schemas.openxmlformats.org/officeDocument/2006/relationships/styles" Id="rId26" Target="styles.xml" /><Relationship Type="http://schemas.openxmlformats.org/officeDocument/2006/relationships/settings" Id="rId25" Target="settings.xml" /><Relationship Type="http://schemas.openxmlformats.org/officeDocument/2006/relationships/webSettings" Id="rId24" Target="webSettings.xml" /><Relationship Type="http://schemas.openxmlformats.org/officeDocument/2006/relationships/fontTable" Id="rId23" Target="fontTable.xml" /><Relationship Type="http://schemas.openxmlformats.org/officeDocument/2006/relationships/theme" Id="rId22" Target="theme/theme1.xml" /><Relationship Type="http://schemas.openxmlformats.org/officeDocument/2006/relationships/footnotes" Id="rId21" Target="footnotes.xml" /><Relationship Type="http://schemas.openxmlformats.org/officeDocument/2006/relationships/comments" Id="rId20" Target="comments.xml" /><Relationship Id="rId13" Target="media/image2.gif" Type="http://schemas.openxmlformats.org/officeDocument/2006/relationships/image" /><Relationship Id="rId18" Target="media/image4.jpeg" Type="http://schemas.openxmlformats.org/officeDocument/2006/relationships/image" /><Relationship Id="rId12" Target="footer2.xml" Type="http://schemas.openxmlformats.org/officeDocument/2006/relationships/footer" /><Relationship Id="rId17" Target="footer6.xml" Type="http://schemas.openxmlformats.org/officeDocument/2006/relationships/footer" /><Relationship Id="rId16" Target="footer5.xml" Type="http://schemas.openxmlformats.org/officeDocument/2006/relationships/footer" /><Relationship Id="rId11" Target="header2.xml" Type="http://schemas.openxmlformats.org/officeDocument/2006/relationships/header" /><Relationship Id="rId15" Target="footer4.xml" Type="http://schemas.openxmlformats.org/officeDocument/2006/relationships/footer" /><Relationship Id="rId10" Target="footer1.xml" Type="http://schemas.openxmlformats.org/officeDocument/2006/relationships/footer" /><Relationship Id="rId19" Target="media/image5.jpeg" Type="http://schemas.openxmlformats.org/officeDocument/2006/relationships/image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53" Target="media/rId53.png" /><Relationship Type="http://schemas.openxmlformats.org/officeDocument/2006/relationships/image" Id="rId63" Target="media/rId63.png" /><Relationship Type="http://schemas.openxmlformats.org/officeDocument/2006/relationships/image" Id="rId34" Target="media/rId3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96" Target="media/rId96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121" Target="media/rId121.png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26131</Words>
  <Characters>148953</Characters>
  <Application>Microsoft Office Word</Application>
  <DocSecurity>0</DocSecurity>
  <Lines>1241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PGU Thesis Template in Persian</vt:lpstr>
    </vt:vector>
  </TitlesOfParts>
  <Company/>
  <LinksUpToDate>false</LinksUpToDate>
  <CharactersWithSpaces>174735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تحلیل ترموالاستیک استوانه‌های متخلخلِ تقویت‌شده با پلاکت‌های گرافنی تحت بارِ ترمو-مکانیکی با استفاده از تئوری لرد-شولمن</dc:title>
  <dc:creator>نگارنده: ‹نام دانشجو› | استاد راهنما: ‹نام استاد راهنما›</dc:creator>
  <cp:keywords/>
  <dcterms:created xsi:type="dcterms:W3CDTF">2026-10-12T08:02:29Z</dcterms:created>
  <dcterms:modified xsi:type="dcterms:W3CDTF">2026-10-12T08:02:29Z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‹نام دانشگاه و دانشکده› — ‹تاریخ دفاع›</vt:lpwstr>
  </property>
</Properties>
</file>