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efense-jury-review-thesis-draft-r1.1"/>
    <w:p>
      <w:pPr>
        <w:pStyle w:val="Heading1"/>
      </w:pPr>
      <w:r>
        <w:t xml:space="preserve">Defense Jury Review — Thesis Draft R1.1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rPr>
          <w:rStyle w:val="VerbatimChar"/>
        </w:rPr>
        <w:t xml:space="preserve">پیش نویس پایان نامه (R 1.1).docx</w:t>
      </w:r>
      <w:r>
        <w:t xml:space="preserve"> </w:t>
      </w:r>
      <w:r>
        <w:t xml:space="preserve">(10.8 MB, modified 2026-08-29)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2026-08-29</w:t>
      </w:r>
      <w:r>
        <w:t xml:space="preserve"> </w:t>
      </w:r>
      <w:r>
        <w:rPr>
          <w:b/>
          <w:bCs/>
        </w:rPr>
        <w:t xml:space="preserve">Reviewers:</w:t>
      </w:r>
      <w:r>
        <w:t xml:space="preserve"> </w:t>
      </w:r>
      <w:r>
        <w:t xml:space="preserve">five independent review passes + direct verification</w:t>
      </w:r>
    </w:p>
    <w:p>
      <w:r>
        <w:pict>
          <v:rect style="width:0;height:1.5pt" o:hralign="center" o:hrstd="t" o:hr="t"/>
        </w:pict>
      </w:r>
    </w:p>
    <w:bookmarkStart w:id="9" w:name="X7e5dee09ff924a0f79ca7965bd445d82f465441"/>
    <w:p>
      <w:pPr>
        <w:pStyle w:val="Heading2"/>
      </w:pPr>
      <w:r>
        <w:t xml:space="preserve">0. Scope and Limitation of This Review — READ FIRST</w:t>
      </w:r>
    </w:p>
    <w:p>
      <w:pPr>
        <w:pStyle w:val="FirstParagraph"/>
      </w:pPr>
      <w:r>
        <w:t xml:space="preserve">The thesis’s</w:t>
      </w:r>
      <w:r>
        <w:t xml:space="preserve"> </w:t>
      </w:r>
      <w:r>
        <w:rPr>
          <w:b/>
          <w:bCs/>
        </w:rPr>
        <w:t xml:space="preserve">~105 equations</w:t>
      </w:r>
      <w:r>
        <w:t xml:space="preserve"> </w:t>
      </w:r>
      <w:r>
        <w:t xml:space="preserve">are MathType/OLE embedded objects and its</w:t>
      </w:r>
      <w:r>
        <w:t xml:space="preserve"> </w:t>
      </w:r>
      <w:r>
        <w:rPr>
          <w:b/>
          <w:bCs/>
        </w:rPr>
        <w:t xml:space="preserve">~31 figures</w:t>
      </w:r>
      <w:r>
        <w:t xml:space="preserve"> </w:t>
      </w:r>
      <w:r>
        <w:t xml:space="preserve">are embedded images. Neither survives text extraction from the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 They</w:t>
      </w:r>
      <w:r>
        <w:t xml:space="preserve"> </w:t>
      </w:r>
      <w:r>
        <w:rPr>
          <w:b/>
          <w:bCs/>
        </w:rPr>
        <w:t xml:space="preserve">are present</w:t>
      </w:r>
      <w:r>
        <w:rPr>
          <w:b/>
          <w:bCs/>
        </w:rPr>
        <w:t xml:space="preserve"> </w:t>
      </w:r>
      <w:r>
        <w:rPr>
          <w:b/>
          <w:bCs/>
        </w:rPr>
        <w:t xml:space="preserve">in your real document</w:t>
      </w:r>
      <w:r>
        <w:t xml:space="preserve"> </w:t>
      </w:r>
      <w:r>
        <w:t xml:space="preserve">— they simply could not be read by the review tooling.</w:t>
      </w:r>
    </w:p>
    <w:p>
      <w:pPr>
        <w:pStyle w:val="BodyText"/>
      </w:pPr>
      <w:r>
        <w:rPr>
          <w:b/>
          <w:bCs/>
        </w:rPr>
        <w:t xml:space="preserve">Therefore: the mathematics and the figures themselves were NOT assessed and are NOT</w:t>
      </w:r>
      <w:r>
        <w:rPr>
          <w:b/>
          <w:bCs/>
        </w:rPr>
        <w:t xml:space="preserve"> </w:t>
      </w:r>
      <w:r>
        <w:rPr>
          <w:b/>
          <w:bCs/>
        </w:rPr>
        <w:t xml:space="preserve">graded.</w:t>
      </w:r>
      <w:r>
        <w:t xml:space="preserve"> </w:t>
      </w:r>
      <w:r>
        <w:t xml:space="preserve">Every score and comment below covers only text, structure, argumentation,</w:t>
      </w:r>
      <w:r>
        <w:t xml:space="preserve"> </w:t>
      </w:r>
      <w:r>
        <w:t xml:space="preserve">language, and citations. A real jury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examine the equations and figures, so treat</w:t>
      </w:r>
      <w:r>
        <w:t xml:space="preserve"> </w:t>
      </w:r>
      <w:r>
        <w:t xml:space="preserve">those as an unreviewed risk area.</w:t>
      </w:r>
    </w:p>
    <w:p>
      <w:r>
        <w:pict>
          <v:rect style="width:0;height:1.5pt" o:hralign="center" o:hrstd="t" o:hr="t"/>
        </w:pict>
      </w:r>
    </w:p>
    <w:bookmarkEnd w:id="9"/>
    <w:bookmarkStart w:id="11" w:name="scores"/>
    <w:p>
      <w:pPr>
        <w:pStyle w:val="Heading2"/>
      </w:pPr>
      <w:r>
        <w:t xml:space="preserve">1. 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Comment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 matter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Unfinished template; the weakest part of the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1 — Framework (چارچوب پژوهش)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Complete and well-motivated; problem statement too thin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2 — Literature Review (پیشینه پژوهش)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Broad and current, but no closing gap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3 — Methodology (روش‌شناسی)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Derivation chain complete; Newmark under-developed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4 — Results (یافته‌های پژوهش)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Strongest chapter</w:t>
            </w:r>
            <w:r>
              <w:t xml:space="preserve">; 16 studies, solid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 5 — Conclusions (نتیجه‌گیری)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Honest limitations, actionable future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References (منابع)</w:t>
            </w:r>
          </w:p>
        </w:tc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79 entries, good currency; structural defects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Appendices (پیوست‌ها)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Appendix A strong; no validation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 / typography</w:t>
            </w:r>
          </w:p>
        </w:tc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Recurring ZWNJ, digit-mixing, scattered typos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74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verdict"/>
    <w:p>
      <w:pPr>
        <w:pStyle w:val="Heading3"/>
      </w:pPr>
      <w:r>
        <w:t xml:space="preserve">Verdict</w:t>
      </w:r>
    </w:p>
    <w:p>
      <w:pPr>
        <w:pStyle w:val="BlockText"/>
      </w:pPr>
      <w:r>
        <w:rPr>
          <w:b/>
          <w:bCs/>
        </w:rPr>
        <w:t xml:space="preserve">ACCEPT WITH MODERATE REVISIONS</w:t>
      </w:r>
    </w:p>
    <w:p>
      <w:pPr>
        <w:pStyle w:val="FirstParagraph"/>
      </w:pPr>
      <w:r>
        <w:t xml:space="preserve">The science is sound and the results chapter is genuinely strong — stronger than a typical</w:t>
      </w:r>
      <w:r>
        <w:t xml:space="preserve"> </w:t>
      </w:r>
      <w:r>
        <w:t xml:space="preserve">MSc. What holds the thesis back is</w:t>
      </w:r>
      <w:r>
        <w:t xml:space="preserve"> </w:t>
      </w:r>
      <w:r>
        <w:rPr>
          <w:b/>
          <w:bCs/>
        </w:rPr>
        <w:t xml:space="preserve">presentation, unfinished template material, and a few</w:t>
      </w:r>
      <w:r>
        <w:rPr>
          <w:b/>
          <w:bCs/>
        </w:rPr>
        <w:t xml:space="preserve"> </w:t>
      </w:r>
      <w:r>
        <w:rPr>
          <w:b/>
          <w:bCs/>
        </w:rPr>
        <w:t xml:space="preserve">structural gaps</w:t>
      </w:r>
      <w:r>
        <w:t xml:space="preserve">. None of the required fixes need new computation.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critical-issues-ordered-by-severity"/>
    <w:p>
      <w:pPr>
        <w:pStyle w:val="Heading2"/>
      </w:pPr>
      <w:r>
        <w:t xml:space="preserve">2. Critical Issues (ordered by severity)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Fix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5 opens with the template’s own instructional text</w:t>
            </w:r>
            <w:r>
              <w:t xml:space="preserve">, never replaced</w:t>
            </w:r>
          </w:p>
        </w:tc>
        <w:tc>
          <w:tcPr/>
          <w:p>
            <w:pPr>
              <w:pStyle w:val="Compact"/>
            </w:pPr>
            <w:r>
              <w:t xml:space="preserve">line 1489</w:t>
            </w:r>
          </w:p>
        </w:tc>
        <w:tc>
          <w:tcPr/>
          <w:p>
            <w:pPr>
              <w:pStyle w:val="Compact"/>
            </w:pPr>
            <w:r>
              <w:t xml:space="preserve">Fatal-embarrassing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 matter is unfinished template</w:t>
            </w:r>
            <w:r>
              <w:t xml:space="preserve"> </w:t>
            </w:r>
            <w:r>
              <w:t xml:space="preserve">— placeholders everywhere</w:t>
            </w:r>
          </w:p>
        </w:tc>
        <w:tc>
          <w:tcPr/>
          <w:p>
            <w:pPr>
              <w:pStyle w:val="Compact"/>
            </w:pPr>
            <w:r>
              <w:t xml:space="preserve">lines 45–68</w:t>
            </w:r>
          </w:p>
        </w:tc>
        <w:tc>
          <w:tcPr/>
          <w:p>
            <w:pPr>
              <w:pStyle w:val="Compact"/>
            </w:pPr>
            <w:r>
              <w:t xml:space="preserve">Fatal-embarrassing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 conflicting dates</w:t>
            </w:r>
            <w:r>
              <w:t xml:space="preserve"> </w:t>
            </w:r>
            <w:r>
              <w:t xml:space="preserve">across the document</w:t>
            </w:r>
          </w:p>
        </w:tc>
        <w:tc>
          <w:tcPr/>
          <w:p>
            <w:pPr>
              <w:pStyle w:val="Compact"/>
            </w:pPr>
            <w:r>
              <w:t xml:space="preserve">21, 60, 68, 1852, 1874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47 raw EndNote XML dumps</w:t>
            </w:r>
            <w:r>
              <w:t xml:space="preserve"> </w:t>
            </w:r>
            <w:r>
              <w:t xml:space="preserve">leaking into body text</w:t>
            </w:r>
          </w:p>
        </w:tc>
        <w:tc>
          <w:tcPr/>
          <w:p>
            <w:pPr>
              <w:pStyle w:val="Compact"/>
            </w:pPr>
            <w:r>
              <w:t xml:space="preserve">e.g. 397–409, 557, 845, 887, 1003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Chapter 2 has no closing research-gap section</w:t>
            </w:r>
            <w:r>
              <w:t xml:space="preserve"> </w:t>
            </w:r>
            <w:r>
              <w:t xml:space="preserve">— although Ch1 promises one</w:t>
            </w:r>
          </w:p>
        </w:tc>
        <w:tc>
          <w:tcPr/>
          <w:p>
            <w:pPr>
              <w:pStyle w:val="Compact"/>
            </w:pPr>
            <w:r>
              <w:t xml:space="preserve">ends at 565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2–3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 [8] (Rezaei) is a near-identical MSc thesis</w:t>
            </w:r>
            <w:r>
              <w:t xml:space="preserve"> </w:t>
            </w:r>
            <w:r>
              <w:t xml:space="preserve">at the same university, never differentiated</w:t>
            </w:r>
          </w:p>
        </w:tc>
        <w:tc>
          <w:tcPr/>
          <w:p>
            <w:pPr>
              <w:pStyle w:val="Compact"/>
            </w:pPr>
            <w:r>
              <w:t xml:space="preserve">491, 497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“Table 4-7”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cross-reference points at the wrong table</w:t>
            </w:r>
          </w:p>
        </w:tc>
        <w:tc>
          <w:tcPr/>
          <w:p>
            <w:pPr>
              <w:pStyle w:val="Compact"/>
            </w:pPr>
            <w:r>
              <w:t xml:space="preserve">1288 vs 1444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method misspelled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“کودرایچر”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“کوادریچر”</w:t>
            </w:r>
          </w:p>
        </w:tc>
        <w:tc>
          <w:tcPr/>
          <w:p>
            <w:pPr>
              <w:pStyle w:val="Compact"/>
            </w:pPr>
            <w:r>
              <w:t xml:space="preserve">1483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Wrong city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“شیراز”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t xml:space="preserve">“بوشهر”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Summary skips item ۸</w:t>
            </w:r>
            <w:r>
              <w:t xml:space="preserve"> </w:t>
            </w:r>
            <w:r>
              <w:t xml:space="preserve">(goes ۱–۷ then ۹)</w:t>
            </w:r>
          </w:p>
        </w:tc>
        <w:tc>
          <w:tcPr/>
          <w:p>
            <w:pPr>
              <w:pStyle w:val="Compact"/>
            </w:pPr>
            <w:r>
              <w:t xml:space="preserve">1469–1483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Committee table merge defect</w:t>
            </w:r>
            <w:r>
              <w:t xml:space="preserve"> </w:t>
            </w:r>
            <w:r>
              <w:t xml:space="preserve">— supervisors run together</w:t>
            </w:r>
          </w:p>
        </w:tc>
        <w:tc>
          <w:tcPr/>
          <w:p>
            <w:pPr>
              <w:pStyle w:val="Compact"/>
            </w:pPr>
            <w:r>
              <w:t xml:space="preserve">45–50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[2] has no journal name</w:t>
            </w:r>
            <w:r>
              <w:t xml:space="preserve">;</w:t>
            </w:r>
            <w:r>
              <w:t xml:space="preserve"> </w:t>
            </w:r>
            <w:r>
              <w:t xml:space="preserve">“منابع فارسی”</w:t>
            </w:r>
            <w:r>
              <w:t xml:space="preserve"> </w:t>
            </w:r>
            <w:r>
              <w:t xml:space="preserve">heading empty</w:t>
            </w:r>
          </w:p>
        </w:tc>
        <w:tc>
          <w:tcPr/>
          <w:p>
            <w:pPr>
              <w:pStyle w:val="Compact"/>
            </w:pPr>
            <w:r>
              <w:t xml:space="preserve">1559–1565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</w:tr>
    </w:tbl>
    <w:bookmarkStart w:id="12" w:name="detail-on-the-two-most-damaging"/>
    <w:p>
      <w:pPr>
        <w:pStyle w:val="Heading3"/>
      </w:pPr>
      <w:r>
        <w:t xml:space="preserve">Detail on the two most damaging</w:t>
      </w:r>
    </w:p>
    <w:p>
      <w:pPr>
        <w:pStyle w:val="FirstParagraph"/>
      </w:pPr>
      <w:r>
        <w:rPr>
          <w:b/>
          <w:bCs/>
        </w:rPr>
        <w:t xml:space="preserve">Issue 1 — Chapter 5’s opening paragraph (line 1489), verbatim:</w:t>
      </w:r>
    </w:p>
    <w:p>
      <w:pPr>
        <w:pStyle w:val="BlockText"/>
      </w:pPr>
      <w:r>
        <w:t xml:space="preserve">«این فصل شامل دو قسمت اصلی ، یکی خلاصه پژوهش و دیگری پیشنهادها است. یک خلاصه مناسب</w:t>
      </w:r>
      <w:r>
        <w:t xml:space="preserve"> </w:t>
      </w:r>
      <w:r>
        <w:t xml:space="preserve">ترکیبی از</w:t>
      </w:r>
      <w:r>
        <w:t xml:space="preserve"> </w:t>
      </w:r>
      <w:r>
        <w:rPr>
          <w:b/>
          <w:bCs/>
        </w:rPr>
        <w:t xml:space="preserve">دو نوع اطلاعات</w:t>
      </w:r>
      <w:r>
        <w:t xml:space="preserve"> </w:t>
      </w:r>
      <w:r>
        <w:t xml:space="preserve">است : اطلاعات و یافته هایی که محقق از پژوهش جاری خویش به</w:t>
      </w:r>
      <w:r>
        <w:t xml:space="preserve"> </w:t>
      </w:r>
      <w:r>
        <w:t xml:space="preserve">دست آورده است.</w:t>
      </w:r>
      <w:r>
        <w:t xml:space="preserve"> </w:t>
      </w:r>
      <w:r>
        <w:rPr>
          <w:b/>
          <w:bCs/>
        </w:rPr>
        <w:t xml:space="preserve">دوم</w:t>
      </w:r>
      <w:r>
        <w:t xml:space="preserve"> </w:t>
      </w:r>
      <w:r>
        <w:t xml:space="preserve">اطلاعات و یافته هایی که محقق از طریق مطالعه</w:t>
      </w:r>
      <w:r>
        <w:t xml:space="preserve"> </w:t>
      </w:r>
      <w:r>
        <w:rPr>
          <w:b/>
          <w:bCs/>
        </w:rPr>
        <w:t xml:space="preserve">پژوهشات</w:t>
      </w:r>
      <w:r>
        <w:t xml:space="preserve"> </w:t>
      </w:r>
      <w:r>
        <w:t xml:space="preserve">و نوشته</w:t>
      </w:r>
      <w:r>
        <w:t xml:space="preserve"> </w:t>
      </w:r>
      <w:r>
        <w:t xml:space="preserve">های دیگران جمع آوری کرده است.»</w:t>
      </w:r>
    </w:p>
    <w:p>
      <w:pPr>
        <w:pStyle w:val="FirstParagraph"/>
      </w:pPr>
      <w:r>
        <w:t xml:space="preserve">This is the thesis template explaining to</w:t>
      </w:r>
      <w:r>
        <w:t xml:space="preserve"> </w:t>
      </w:r>
      <w:r>
        <w:rPr>
          <w:i/>
          <w:iCs/>
        </w:rPr>
        <w:t xml:space="preserve">the author</w:t>
      </w:r>
      <w:r>
        <w:t xml:space="preserve"> </w:t>
      </w:r>
      <w:r>
        <w:t xml:space="preserve">what a conclusion chapter should</w:t>
      </w:r>
      <w:r>
        <w:t xml:space="preserve"> </w:t>
      </w:r>
      <w:r>
        <w:t xml:space="preserve">contain. It was never replaced. It also contains</w:t>
      </w:r>
      <w:r>
        <w:t xml:space="preserve"> </w:t>
      </w:r>
      <w:r>
        <w:rPr>
          <w:b/>
          <w:bCs/>
        </w:rPr>
        <w:t xml:space="preserve">پژوهشات</w:t>
      </w:r>
      <w:r>
        <w:t xml:space="preserve">, an incorrect Arabic-style</w:t>
      </w:r>
      <w:r>
        <w:t xml:space="preserve"> </w:t>
      </w:r>
      <w:r>
        <w:t xml:space="preserve">plural (correct:</w:t>
      </w:r>
      <w:r>
        <w:t xml:space="preserve"> </w:t>
      </w:r>
      <w:r>
        <w:rPr>
          <w:b/>
          <w:bCs/>
        </w:rPr>
        <w:t xml:space="preserve">پژوهش‌ها</w:t>
      </w:r>
      <w:r>
        <w:t xml:space="preserve">). A jury reading Chapter 5’s first paragraph sees boilerplate.</w:t>
      </w:r>
    </w:p>
    <w:p>
      <w:pPr>
        <w:pStyle w:val="BodyText"/>
      </w:pPr>
      <w:r>
        <w:rPr>
          <w:b/>
          <w:bCs/>
        </w:rPr>
        <w:t xml:space="preserve">Issue 2 — front-matter placeholders (verified):</w:t>
      </w:r>
    </w:p>
    <w:p>
      <w:pPr>
        <w:pStyle w:val="Compact"/>
        <w:numPr>
          <w:ilvl w:val="0"/>
          <w:numId w:val="1001"/>
        </w:numPr>
      </w:pPr>
      <w:r>
        <w:t xml:space="preserve">Acknowledgements trail off mid-sentence: «…سپاس گویم که به من</w:t>
      </w:r>
      <w:r>
        <w:t xml:space="preserve"> </w:t>
      </w:r>
      <w:r>
        <w:rPr>
          <w:b/>
          <w:bCs/>
        </w:rPr>
        <w:t xml:space="preserve">…</w:t>
      </w:r>
      <w:r>
        <w:t xml:space="preserve">»</w:t>
      </w:r>
    </w:p>
    <w:p>
      <w:pPr>
        <w:pStyle w:val="Compact"/>
        <w:numPr>
          <w:ilvl w:val="0"/>
          <w:numId w:val="1001"/>
        </w:numPr>
      </w:pPr>
      <w:r>
        <w:t xml:space="preserve">Signed «</w:t>
      </w:r>
      <w:r>
        <w:rPr>
          <w:b/>
          <w:bCs/>
        </w:rPr>
        <w:t xml:space="preserve">نام و نام خانوادگی دانشجو</w:t>
      </w:r>
      <w:r>
        <w:t xml:space="preserve">» (the literal placeholder)</w:t>
      </w:r>
    </w:p>
    <w:p>
      <w:pPr>
        <w:pStyle w:val="Compact"/>
        <w:numPr>
          <w:ilvl w:val="0"/>
          <w:numId w:val="1001"/>
        </w:numPr>
      </w:pPr>
      <w:r>
        <w:t xml:space="preserve">تعهدنامه: «</w:t>
      </w:r>
      <w:r>
        <w:rPr>
          <w:b/>
          <w:bCs/>
        </w:rPr>
        <w:t xml:space="preserve">نام و نام خانوادگی</w:t>
      </w:r>
      <w:r>
        <w:t xml:space="preserve">», «</w:t>
      </w:r>
      <w:r>
        <w:rPr>
          <w:b/>
          <w:bCs/>
        </w:rPr>
        <w:t xml:space="preserve">شماره دانشجويي شماره دانشجوي</w:t>
      </w:r>
      <w:r>
        <w:t xml:space="preserve">», «</w:t>
      </w:r>
      <w:r>
        <w:rPr>
          <w:b/>
          <w:bCs/>
        </w:rPr>
        <w:t xml:space="preserve">رشته رشته</w:t>
      </w:r>
      <w:r>
        <w:t xml:space="preserve">», «</w:t>
      </w:r>
      <w:r>
        <w:rPr>
          <w:b/>
          <w:bCs/>
        </w:rPr>
        <w:t xml:space="preserve">گرایش گرایش</w:t>
      </w:r>
      <w:r>
        <w:t xml:space="preserve">»</w:t>
      </w:r>
    </w:p>
    <w:p>
      <w:pPr>
        <w:pStyle w:val="Compact"/>
        <w:numPr>
          <w:ilvl w:val="0"/>
          <w:numId w:val="1001"/>
        </w:numPr>
      </w:pPr>
      <w:r>
        <w:t xml:space="preserve">Committee table: «</w:t>
      </w:r>
      <w:r>
        <w:rPr>
          <w:b/>
          <w:bCs/>
        </w:rPr>
        <w:t xml:space="preserve">نام استاد مشاور</w:t>
      </w:r>
      <w:r>
        <w:t xml:space="preserve">», «</w:t>
      </w:r>
      <w:r>
        <w:rPr>
          <w:b/>
          <w:bCs/>
        </w:rPr>
        <w:t xml:space="preserve">نام داور</w:t>
      </w:r>
      <w:r>
        <w:t xml:space="preserve">» ×2, «</w:t>
      </w:r>
      <w:r>
        <w:rPr>
          <w:b/>
          <w:bCs/>
        </w:rPr>
        <w:t xml:space="preserve">رشته استاد</w:t>
      </w:r>
      <w:r>
        <w:t xml:space="preserve">» ×3</w:t>
      </w:r>
    </w:p>
    <w:p>
      <w:pPr>
        <w:pStyle w:val="Compact"/>
        <w:numPr>
          <w:ilvl w:val="0"/>
          <w:numId w:val="1001"/>
        </w:numPr>
      </w:pPr>
      <w:r>
        <w:t xml:space="preserve">English back cover: «</w:t>
      </w:r>
      <w:r>
        <w:rPr>
          <w:b/>
          <w:bCs/>
        </w:rPr>
        <w:t xml:space="preserve">Dr. FirstName LastName</w:t>
      </w:r>
      <w:r>
        <w:t xml:space="preserve">» ×2</w:t>
      </w:r>
    </w:p>
    <w:p>
      <w:pPr>
        <w:pStyle w:val="Compact"/>
        <w:numPr>
          <w:ilvl w:val="0"/>
          <w:numId w:val="1001"/>
        </w:numPr>
      </w:pPr>
      <w:r>
        <w:t xml:space="preserve">تعهدنامه uses Arabic-script</w:t>
      </w:r>
      <w:r>
        <w:t xml:space="preserve"> </w:t>
      </w:r>
      <w:r>
        <w:rPr>
          <w:b/>
          <w:bCs/>
        </w:rPr>
        <w:t xml:space="preserve">ي / ك</w:t>
      </w:r>
      <w:r>
        <w:t xml:space="preserve"> </w:t>
      </w:r>
      <w:r>
        <w:t xml:space="preserve">(42 + 7 occurrences) instead of Persian</w:t>
      </w:r>
      <w:r>
        <w:t xml:space="preserve"> </w:t>
      </w:r>
      <w:r>
        <w:rPr>
          <w:b/>
          <w:bCs/>
        </w:rPr>
        <w:t xml:space="preserve">ی / ک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technical-assessment"/>
    <w:p>
      <w:pPr>
        <w:pStyle w:val="Heading2"/>
      </w:pPr>
      <w:r>
        <w:t xml:space="preserve">3. Technical Assessment</w:t>
      </w:r>
    </w:p>
    <w:bookmarkStart w:id="14" w:name="what-is-genuinely-strong"/>
    <w:p>
      <w:pPr>
        <w:pStyle w:val="Heading3"/>
      </w:pPr>
      <w:r>
        <w:t xml:space="preserve">What is genuinely strong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Parametric coverage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distinct studies</w:t>
            </w:r>
            <w:r>
              <w:t xml:space="preserve"> </w:t>
            </w:r>
            <w:r>
              <w:t xml:space="preserve">+ full 25-case GPL×porosity matrix — closer to 2–3 journal papers than one MSc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independent tests</w:t>
            </w:r>
            <w:r>
              <w:t xml:space="preserve">, four with hard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Derivation chain (Ch3)</w:t>
            </w:r>
          </w:p>
        </w:tc>
        <w:tc>
          <w:tcPr/>
          <w:p>
            <w:pPr>
              <w:pStyle w:val="Compact"/>
            </w:pPr>
            <w:r>
              <w:t xml:space="preserve">Complete end-to-end; each discretization step cites which equation it substitutes into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interpretation</w:t>
            </w:r>
          </w:p>
        </w:tc>
        <w:tc>
          <w:tcPr/>
          <w:p>
            <w:pPr>
              <w:pStyle w:val="Compact"/>
            </w:pPr>
            <w:r>
              <w:t xml:space="preserve">Genuinely explanatory, not plot-narration — see the second-sound discussion (1310–1312)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Quantitative rigor</w:t>
            </w:r>
          </w:p>
        </w:tc>
        <w:tc>
          <w:tcPr/>
          <w:p>
            <w:pPr>
              <w:pStyle w:val="Compact"/>
            </w:pPr>
            <w:r>
              <w:t xml:space="preserve">Nearly every claim carries a specific number; sig-figs consistent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results reported: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Against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Static assembly</w:t>
            </w:r>
          </w:p>
        </w:tc>
        <w:tc>
          <w:tcPr/>
          <w:p>
            <w:pPr>
              <w:pStyle w:val="Compact"/>
            </w:pPr>
            <w:r>
              <w:t xml:space="preserve">Independent static solver</w:t>
            </w:r>
          </w:p>
        </w:tc>
        <w:tc>
          <w:tcPr/>
          <w:p>
            <w:pPr>
              <w:pStyle w:val="Compact"/>
            </w:pPr>
            <w:r>
              <w:t xml:space="preserve">~2×10⁻¹¹ max displacement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Dynamic mechanics</w:t>
            </w:r>
          </w:p>
        </w:tc>
        <w:tc>
          <w:tcPr/>
          <w:p>
            <w:pPr>
              <w:pStyle w:val="Compact"/>
            </w:pPr>
            <w:r>
              <w:t xml:space="preserve">Malekzadeh et al. + ANSYS</w:t>
            </w:r>
          </w:p>
        </w:tc>
        <w:tc>
          <w:tcPr/>
          <w:p>
            <w:pPr>
              <w:pStyle w:val="Compact"/>
            </w:pPr>
            <w:r>
              <w:t xml:space="preserve">0.1–0.2 %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Transient conduction</w:t>
            </w:r>
          </w:p>
        </w:tc>
        <w:tc>
          <w:tcPr/>
          <w:p>
            <w:pPr>
              <w:pStyle w:val="Compact"/>
            </w:pPr>
            <w:r>
              <w:t xml:space="preserve">Exact Bessel series</w:t>
            </w:r>
          </w:p>
        </w:tc>
        <w:tc>
          <w:tcPr/>
          <w:p>
            <w:pPr>
              <w:pStyle w:val="Compact"/>
            </w:pPr>
            <w:r>
              <w:t xml:space="preserve">10⁻⁵–10⁻⁶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Time integration</w:t>
            </w:r>
          </w:p>
        </w:tc>
        <w:tc>
          <w:tcPr/>
          <w:p>
            <w:pPr>
              <w:pStyle w:val="Compac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ode15s</w:t>
            </w:r>
          </w:p>
        </w:tc>
        <w:tc>
          <w:tcPr/>
          <w:p>
            <w:pPr>
              <w:pStyle w:val="Compact"/>
            </w:pPr>
            <w:r>
              <w:t xml:space="preserve">ΔT = 0.003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Lord-Shulman wave</w:t>
            </w:r>
          </w:p>
        </w:tc>
        <w:tc>
          <w:tcPr/>
          <w:p>
            <w:pPr>
              <w:pStyle w:val="Compact"/>
            </w:pPr>
            <w:r>
              <w:t xml:space="preserve">Bagri &amp; Eslami (2007)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qualitative only — no error number</w:t>
            </w:r>
          </w:p>
        </w:tc>
      </w:tr>
    </w:tbl>
    <w:p>
      <w:pPr>
        <w:pStyle w:val="BodyText"/>
      </w:pPr>
      <w:r>
        <w:rPr>
          <w:b/>
          <w:bCs/>
        </w:rPr>
        <w:t xml:space="preserve">Best passage in the thesis (lines 1310–1312):</w:t>
      </w:r>
      <w:r>
        <w:t xml:space="preserve"> </w:t>
      </w:r>
      <w:r>
        <w:t xml:space="preserve">the second-sound discussion identifies the</w:t>
      </w:r>
      <w:r>
        <w:t xml:space="preserve"> </w:t>
      </w:r>
      <w:r>
        <w:t xml:space="preserve">dip/peak near ξ ≈ 0.75, attributes it to the LS thermal-wave front and interlayer</w:t>
      </w:r>
      <w:r>
        <w:t xml:space="preserve"> </w:t>
      </w:r>
      <w:r>
        <w:t xml:space="preserve">reflections, then</w:t>
      </w:r>
      <w:r>
        <w:t xml:space="preserve"> </w:t>
      </w:r>
      <w:r>
        <w:rPr>
          <w:i/>
          <w:iCs/>
        </w:rPr>
        <w:t xml:space="preserve">proactively rules out a numerical artifact</w:t>
      </w:r>
      <w:r>
        <w:t xml:space="preserve"> </w:t>
      </w:r>
      <w:r>
        <w:t xml:space="preserve">with two independent checks</w:t>
      </w:r>
      <w:r>
        <w:t xml:space="preserve"> </w:t>
      </w:r>
      <w:r>
        <w:t xml:space="preserve">(the peak shifts with relaxation time and vanishes at the Fourier limit; the oscillation is</w:t>
      </w:r>
      <w:r>
        <w:t xml:space="preserve"> </w:t>
      </w:r>
      <w:r>
        <w:t xml:space="preserve">bounded and shrinks under mesh refinement). This is exactly the kind of self-critical</w:t>
      </w:r>
      <w:r>
        <w:t xml:space="preserve"> </w:t>
      </w:r>
      <w:r>
        <w:t xml:space="preserve">reasoning a jury rewards.</w:t>
      </w:r>
    </w:p>
    <w:bookmarkEnd w:id="14"/>
    <w:bookmarkStart w:id="15" w:name="genuine-technical-weaknesses"/>
    <w:p>
      <w:pPr>
        <w:pStyle w:val="Heading3"/>
      </w:pPr>
      <w:r>
        <w:t xml:space="preserve">Genuine technical weaknesses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 5 validates your central novelty — and it is the only qualitative one.</w:t>
      </w:r>
      <w:r>
        <w:t xml:space="preserve"> </w:t>
      </w:r>
      <w:r>
        <w:t xml:space="preserve">Every</w:t>
      </w:r>
      <w:r>
        <w:t xml:space="preserve"> </w:t>
      </w:r>
      <w:r>
        <w:t xml:space="preserve">other test has a number. This is your most exposed flank.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test isolates one ingredient</w:t>
      </w:r>
      <w:r>
        <w:t xml:space="preserve"> </w:t>
      </w:r>
      <w:r>
        <w:t xml:space="preserve">(statics / linear dynamics / uncoupled conduction /</w:t>
      </w:r>
      <w:r>
        <w:t xml:space="preserve"> </w:t>
      </w:r>
      <w:r>
        <w:t xml:space="preserve">integrator / wave shape).</w:t>
      </w:r>
      <w:r>
        <w:t xml:space="preserve"> </w:t>
      </w:r>
      <w:r>
        <w:rPr>
          <w:b/>
          <w:bCs/>
        </w:rPr>
        <w:t xml:space="preserve">None validates the fully coupled porous + GPL + multilayer</w:t>
      </w:r>
      <w:r>
        <w:rPr>
          <w:b/>
          <w:bCs/>
        </w:rPr>
        <w:t xml:space="preserve"> </w:t>
      </w:r>
      <w:r>
        <w:rPr>
          <w:b/>
          <w:bCs/>
        </w:rPr>
        <w:t xml:space="preserve">model together.</w:t>
      </w:r>
      <w:r>
        <w:t xml:space="preserve"> </w:t>
      </w:r>
      <w:r>
        <w:t xml:space="preserve">Error compounding is unaddressed.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independent check of the Halpin-Tsai + porosity material properties</w:t>
      </w:r>
      <w:r>
        <w:t xml:space="preserve"> </w:t>
      </w:r>
      <w:r>
        <w:t xml:space="preserve">against a</w:t>
      </w:r>
      <w:r>
        <w:t xml:space="preserve"> </w:t>
      </w:r>
      <w:r>
        <w:t xml:space="preserve">published property table.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Newmark is asserted, not derived</w:t>
      </w:r>
      <w:r>
        <w:t xml:space="preserve"> </w:t>
      </w:r>
      <w:r>
        <w:t xml:space="preserve">(Ch3, line 1175 — a single clause), versus ~40 lines</w:t>
      </w:r>
      <w:r>
        <w:t xml:space="preserve"> </w:t>
      </w:r>
      <w:r>
        <w:t xml:space="preserve">justifying DQM. No β/γ values, no stability argument. Appendix A covers it, but Ch3 never</w:t>
      </w:r>
      <w:r>
        <w:t xml:space="preserve"> </w:t>
      </w:r>
      <w:r>
        <w:t xml:space="preserve">points there.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Halpin-Tsai at 8 wt% GPL</w:t>
      </w:r>
      <w:r>
        <w:t xml:space="preserve"> </w:t>
      </w:r>
      <w:r>
        <w:t xml:space="preserve">— the sweep was extended there, but agglomeration/percolation</w:t>
      </w:r>
      <w:r>
        <w:t xml:space="preserve"> </w:t>
      </w:r>
      <w:r>
        <w:t xml:space="preserve">effects at that loading are outside the model’s validity range.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mesh never restated.</w:t>
      </w:r>
      <w:r>
        <w:t xml:space="preserve"> </w:t>
      </w:r>
      <w:r>
        <w:t xml:space="preserve">§4-3 claims</w:t>
      </w:r>
      <w:r>
        <w:t xml:space="preserve"> </w:t>
      </w:r>
      <w:r>
        <w:t xml:space="preserve">“better than 0.2 % accuracy”</w:t>
      </w:r>
      <w:r>
        <w:t xml:space="preserve"> </w:t>
      </w:r>
      <w:r>
        <w:t xml:space="preserve">but never</w:t>
      </w:r>
      <w:r>
        <w:t xml:space="preserve"> </w:t>
      </w:r>
      <w:r>
        <w:t xml:space="preserve">states which (N_r, N_z, N_L, Δt) was actually used for §4-5 through §4-20.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validation appendix.</w:t>
      </w:r>
      <w:r>
        <w:t xml:space="preserve"> </w:t>
      </w:r>
      <w:r>
        <w:t xml:space="preserve">Ch5 promises «پنج آزمون مستقل صحت‌سنجی» but the appendices</w:t>
      </w:r>
      <w:r>
        <w:t xml:space="preserve"> </w:t>
      </w:r>
      <w:r>
        <w:t xml:space="preserve">contain only Appendix A (Newmark + comparison methods), with no cross-reference telling</w:t>
      </w:r>
      <w:r>
        <w:t xml:space="preserve"> </w:t>
      </w:r>
      <w:r>
        <w:t xml:space="preserve">the reader the tests live in Chapter 4.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writing-presentation"/>
    <w:p>
      <w:pPr>
        <w:pStyle w:val="Heading2"/>
      </w:pPr>
      <w:r>
        <w:t xml:space="preserve">4. Writing &amp; Presentation</w:t>
      </w:r>
    </w:p>
    <w:p>
      <w:pPr>
        <w:pStyle w:val="FirstParagraph"/>
      </w:pPr>
      <w:r>
        <w:t xml:space="preserve">Counts verified directly on the body (Ch1–Ch5):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می</w:t>
            </w:r>
            <w:r>
              <w:t xml:space="preserve"> </w:t>
            </w:r>
            <w:r>
              <w:t xml:space="preserve">with full space instead of ZWNJ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«می باشند» → «می‌باشند»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«بدست» (should be «به‌دست»)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headings using Latin numerals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«4-14»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headings using Persian numerals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«۴-۱۷»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 ي / ك in front matter</w:t>
            </w:r>
          </w:p>
        </w:tc>
        <w:tc>
          <w:tcPr/>
          <w:p>
            <w:pPr>
              <w:pStyle w:val="Compact"/>
            </w:pPr>
            <w:r>
              <w:t xml:space="preserve">42 / 7</w:t>
            </w:r>
          </w:p>
        </w:tc>
        <w:tc>
          <w:tcPr/>
          <w:p>
            <w:pPr>
              <w:pStyle w:val="Compact"/>
            </w:pPr>
            <w:r>
              <w:t xml:space="preserve">«اينجانب», «كار»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«کودرایچر» (core method misspelled)</w:t>
            </w:r>
          </w:p>
        </w:tc>
        <w:tc>
          <w:tcPr/>
          <w:p>
            <w:pPr>
              <w:pStyle w:val="Compact"/>
            </w:pPr>
            <w:r>
              <w:t xml:space="preserve">1 of 49</w:t>
            </w:r>
          </w:p>
        </w:tc>
        <w:tc>
          <w:tcPr/>
          <w:p>
            <w:pPr>
              <w:pStyle w:val="Compact"/>
            </w:pPr>
            <w:r>
              <w:t xml:space="preserve">line 1483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«پژوهشات» (incorrect plural)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line 1489</w:t>
            </w:r>
          </w:p>
        </w:tc>
      </w:tr>
    </w:tbl>
    <w:p>
      <w:pPr>
        <w:pStyle w:val="BodyText"/>
      </w:pPr>
      <w:r>
        <w:rPr>
          <w:b/>
          <w:bCs/>
        </w:rPr>
        <w:t xml:space="preserve">Scattered typos:</w:t>
      </w:r>
      <w:r>
        <w:t xml:space="preserve"> </w:t>
      </w:r>
      <w:r>
        <w:t xml:space="preserve">جابجای→جابجایی (495, 757) · پارامتهای→پارامترهای (497) · استفده→استفاده</w:t>
      </w:r>
      <w:r>
        <w:t xml:space="preserve"> </w:t>
      </w:r>
      <w:r>
        <w:t xml:space="preserve">(517) · بژوهش→پژوهش (537) · ترموالاستتیک→ترموالاستیک (563) · بااستفاده→با استفاده (1432 ×2,</w:t>
      </w:r>
      <w:r>
        <w:t xml:space="preserve"> </w:t>
      </w:r>
      <w:r>
        <w:t xml:space="preserve">1438) · مقایس شدند→مقایسه شدند (1525) · فصل سومم→فصل سوم (473)</w:t>
      </w:r>
    </w:p>
    <w:p>
      <w:pPr>
        <w:pStyle w:val="BodyText"/>
      </w:pPr>
      <w:r>
        <w:rPr>
          <w:b/>
          <w:bCs/>
        </w:rPr>
        <w:t xml:space="preserve">Missing ezafe:</w:t>
      </w:r>
      <w:r>
        <w:t xml:space="preserve"> </w:t>
      </w:r>
      <w:r>
        <w:t xml:space="preserve">«الگو توزیع» → «الگوی توزیع» (723) · «ابتدا و انتها استوانه» →</w:t>
      </w:r>
      <w:r>
        <w:t xml:space="preserve"> </w:t>
      </w:r>
      <w:r>
        <w:t xml:space="preserve">«…انتهای استوانه» (1059 — correct 30 lines later at 1089)</w:t>
      </w:r>
    </w:p>
    <w:p>
      <w:pPr>
        <w:pStyle w:val="BodyText"/>
      </w:pPr>
      <w:r>
        <w:rPr>
          <w:b/>
          <w:bCs/>
        </w:rPr>
        <w:t xml:space="preserve">Digit-script mixing inside single tokens:</w:t>
      </w:r>
      <w:r>
        <w:t xml:space="preserve"> </w:t>
      </w:r>
      <w:r>
        <w:t xml:space="preserve">«۴-۱3.» (1404) · «شکل ۴-۲7» (1426 — three</w:t>
      </w:r>
      <w:r>
        <w:t xml:space="preserve"> </w:t>
      </w:r>
      <w:r>
        <w:t xml:space="preserve">scripts in one reference) · «۱/0 تا ۲/0 درصد» (1286)</w:t>
      </w:r>
    </w:p>
    <w:p>
      <w:pPr>
        <w:pStyle w:val="BodyText"/>
      </w:pPr>
      <w:r>
        <w:rPr>
          <w:b/>
          <w:bCs/>
        </w:rPr>
        <w:t xml:space="preserve">Variant drift:</w:t>
      </w:r>
      <w:r>
        <w:t xml:space="preserve"> </w:t>
      </w:r>
      <w:r>
        <w:t xml:space="preserve">ضرایب/ضرائب · ارائه/ارایه · بارگذاری/بار گذاری · four hyphenation forms of</w:t>
      </w:r>
      <w:r>
        <w:t xml:space="preserve"> </w:t>
      </w:r>
      <w:r>
        <w:t xml:space="preserve">ترمو-مکانیکی including a kashida form (561)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sentences beginning with «که» after a full stop (1163, 1340) · stray ZWNJ+space</w:t>
      </w:r>
      <w:r>
        <w:t xml:space="preserve"> </w:t>
      </w:r>
      <w:r>
        <w:t xml:space="preserve">«لایه‌ داخلی» (581, 583), «پلاکت ‌های» (1521) · double-ZWNJ «داده‌‌ها» (1539) · double periods</w:t>
      </w:r>
      <w:r>
        <w:t xml:space="preserve"> </w:t>
      </w:r>
      <w:r>
        <w:t xml:space="preserve">(485, 1515) ·</w:t>
      </w:r>
      <w:r>
        <w:t xml:space="preserve"> </w:t>
      </w:r>
      <w:r>
        <w:t xml:space="preserve">“School of Graduate</w:t>
      </w:r>
      <w:r>
        <w:t xml:space="preserve"> </w:t>
      </w:r>
      <w:r>
        <w:rPr>
          <w:b/>
          <w:bCs/>
        </w:rPr>
        <w:t xml:space="preserve">Student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“Studies”</w:t>
      </w:r>
      <w:r>
        <w:t xml:space="preserve"> </w:t>
      </w:r>
      <w:r>
        <w:t xml:space="preserve">(1829)</w:t>
      </w:r>
    </w:p>
    <w:p>
      <w:pPr>
        <w:pStyle w:val="BodyText"/>
      </w:pPr>
      <w:r>
        <w:rPr>
          <w:b/>
          <w:bCs/>
        </w:rPr>
        <w:t xml:space="preserve">Strengths noted:</w:t>
      </w:r>
      <w:r>
        <w:t xml:space="preserve"> </w:t>
      </w:r>
      <w:r>
        <w:t xml:space="preserve">Ch4’s results discussion (1298–1380) is well-argued with clear physical</w:t>
      </w:r>
      <w:r>
        <w:t xml:space="preserve"> </w:t>
      </w:r>
      <w:r>
        <w:t xml:space="preserve">reasoning; UD/O/X/V/A pattern terminology is used flawlessly throughout; Ch3’s DQM subsection</w:t>
      </w:r>
      <w:r>
        <w:t xml:space="preserve"> </w:t>
      </w:r>
      <w:r>
        <w:t xml:space="preserve">(989–1031) is cleanly typeset; Ch5’s findings/limitations use a disciplined run-in-label</w:t>
      </w:r>
      <w:r>
        <w:t xml:space="preserve"> </w:t>
      </w:r>
      <w:r>
        <w:t xml:space="preserve">structure.</w:t>
      </w:r>
    </w:p>
    <w:p>
      <w:r>
        <w:pict>
          <v:rect style="width:0;height:1.5pt" o:hralign="center" o:hrstd="t" o:hr="t"/>
        </w:pict>
      </w:r>
    </w:p>
    <w:bookmarkEnd w:id="17"/>
    <w:bookmarkStart w:id="18" w:name="likely-jury-questions"/>
    <w:p>
      <w:pPr>
        <w:pStyle w:val="Heading2"/>
      </w:pPr>
      <w:r>
        <w:t xml:space="preserve">5. Likely Jury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Where it comes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Your Ch1 roadmap promises Ch2 ends with the research gap — where is that section?</w:t>
            </w:r>
          </w:p>
        </w:tc>
        <w:tc>
          <w:tcPr/>
          <w:p>
            <w:pPr>
              <w:pStyle w:val="Compact"/>
            </w:pPr>
            <w:r>
              <w:t xml:space="preserve">line 471 vs 565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Rezaei’s thesis [8] already did GPL + Lord-Shulman at this university. What does yours add?</w:t>
            </w:r>
          </w:p>
        </w:tc>
        <w:tc>
          <w:tcPr/>
          <w:p>
            <w:pPr>
              <w:pStyle w:val="Compact"/>
            </w:pPr>
            <w:r>
              <w:t xml:space="preserve">491, 497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Why is your headline finding (second-sound wave) validated only qualitatively?</w:t>
            </w:r>
          </w:p>
        </w:tc>
        <w:tc>
          <w:tcPr/>
          <w:p>
            <w:pPr>
              <w:pStyle w:val="Compac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None of your five tests validates the assembled coupled model. How do you know errors don’t compound?</w:t>
            </w:r>
          </w:p>
        </w:tc>
        <w:tc>
          <w:tcPr/>
          <w:p>
            <w:pPr>
              <w:pStyle w:val="Compact"/>
            </w:pPr>
            <w:r>
              <w:t xml:space="preserve">§4-4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What exact mesh (N_r, N_z, N_L, Δt) was used for every study in §4-5 to §4-20?</w:t>
            </w:r>
          </w:p>
        </w:tc>
        <w:tc>
          <w:tcPr/>
          <w:p>
            <w:pPr>
              <w:pStyle w:val="Compact"/>
            </w:pPr>
            <w:r>
              <w:t xml:space="preserve">§4-3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Is Halpin-Tsai still valid at the 8 wt% GPL you extended to?</w:t>
            </w:r>
          </w:p>
        </w:tc>
        <w:tc>
          <w:tcPr/>
          <w:p>
            <w:pPr>
              <w:pStyle w:val="Compact"/>
            </w:pPr>
            <w:r>
              <w:t xml:space="preserve">§4-7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β and γ did you use for Newmark, and why is it stable for this stiff coupled system?</w:t>
            </w:r>
          </w:p>
        </w:tc>
        <w:tc>
          <w:tcPr/>
          <w:p>
            <w:pPr>
              <w:pStyle w:val="Compact"/>
            </w:pPr>
            <w:r>
              <w:t xml:space="preserve">Ch3, 1175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Why Lord-Shulman rather than Green-Lindsay or Green-Naghdi?</w:t>
            </w:r>
          </w:p>
        </w:tc>
        <w:tc>
          <w:tcPr/>
          <w:p>
            <w:pPr>
              <w:pStyle w:val="Compact"/>
            </w:pPr>
            <w:r>
              <w:t xml:space="preserve">Ch3, 573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Why layerwise DQM instead of Equivalent Single Layer?</w:t>
            </w:r>
          </w:p>
        </w:tc>
        <w:tc>
          <w:tcPr/>
          <w:p>
            <w:pPr>
              <w:pStyle w:val="Compact"/>
            </w:pPr>
            <w:r>
              <w:t xml:space="preserve">Ch3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Table 4-7 is cited as your validation summary but doesn’t contain it — where is it?</w:t>
            </w:r>
          </w:p>
        </w:tc>
        <w:tc>
          <w:tcPr/>
          <w:p>
            <w:pPr>
              <w:pStyle w:val="Compact"/>
            </w:pPr>
            <w:r>
              <w:t xml:space="preserve">1288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What supports the absolute claim that the V/A synergy «همتایی ندارد» in prior work?</w:t>
            </w:r>
          </w:p>
        </w:tc>
        <w:tc>
          <w:tcPr/>
          <w:p>
            <w:pPr>
              <w:pStyle w:val="Compact"/>
            </w:pPr>
            <w:r>
              <w:t xml:space="preserve">1521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~15 % of your references are co-authored by your co-supervisor. How was review independence ensured?</w:t>
            </w:r>
          </w:p>
        </w:tc>
        <w:tc>
          <w:tcPr/>
          <w:p>
            <w:pPr>
              <w:pStyle w:val="Compact"/>
            </w:pPr>
            <w:r>
              <w:t xml:space="preserve">refs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prioritized-fix-list"/>
    <w:p>
      <w:pPr>
        <w:pStyle w:val="Heading2"/>
      </w:pPr>
      <w:r>
        <w:t xml:space="preserve">6. Prioritized Fix List</w:t>
      </w:r>
    </w:p>
    <w:bookmarkStart w:id="19" w:name="X7c08eac651ac522958283607ca3b49251fcc359"/>
    <w:p>
      <w:pPr>
        <w:pStyle w:val="Heading3"/>
      </w:pPr>
      <w:r>
        <w:t xml:space="preserve">Phase 1 — Do first (≈ 1 hour, zero risk, highest embarrassment-reduction)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Replace Chapter 5’s opening template paragraph</w:t>
      </w:r>
      <w:r>
        <w:t xml:space="preserve"> </w:t>
      </w:r>
      <w:r>
        <w:t xml:space="preserve">(line 1489) with your own text</w:t>
      </w:r>
    </w:p>
    <w:p>
      <w:pPr>
        <w:pStyle w:val="Compact"/>
        <w:numPr>
          <w:ilvl w:val="0"/>
          <w:numId w:val="1003"/>
        </w:numPr>
      </w:pPr>
      <w:r>
        <w:t xml:space="preserve">Fill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front-matter placeholder (acknowledgements, تعهدنامه, committee table, English back cover)</w:t>
      </w:r>
    </w:p>
    <w:p>
      <w:pPr>
        <w:pStyle w:val="Compact"/>
        <w:numPr>
          <w:ilvl w:val="0"/>
          <w:numId w:val="1003"/>
        </w:numPr>
      </w:pPr>
      <w:r>
        <w:t xml:space="preserve">Resolve the</w:t>
      </w:r>
      <w:r>
        <w:t xml:space="preserve"> </w:t>
      </w:r>
      <w:r>
        <w:rPr>
          <w:b/>
          <w:bCs/>
        </w:rPr>
        <w:t xml:space="preserve">three date conflicts</w:t>
      </w:r>
      <w:r>
        <w:t xml:space="preserve"> </w:t>
      </w:r>
      <w:r>
        <w:t xml:space="preserve">→ all should be شهریور ۱۴۰۵ / September 2026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شیراز → بوشهر</w:t>
      </w:r>
      <w:r>
        <w:t xml:space="preserve"> </w:t>
      </w:r>
      <w:r>
        <w:t xml:space="preserve">(line 60)</w:t>
      </w:r>
    </w:p>
    <w:p>
      <w:pPr>
        <w:pStyle w:val="Compact"/>
        <w:numPr>
          <w:ilvl w:val="0"/>
          <w:numId w:val="1003"/>
        </w:numPr>
      </w:pPr>
      <w:r>
        <w:t xml:space="preserve">In Word:</w:t>
      </w:r>
      <w:r>
        <w:t xml:space="preserve"> </w:t>
      </w:r>
      <w:r>
        <w:rPr>
          <w:b/>
          <w:bCs/>
        </w:rPr>
        <w:t xml:space="preserve">select all → F9</w:t>
      </w:r>
      <w:r>
        <w:t xml:space="preserve">, then</w:t>
      </w:r>
      <w:r>
        <w:t xml:space="preserve"> </w:t>
      </w:r>
      <w:r>
        <w:rPr>
          <w:b/>
          <w:bCs/>
        </w:rPr>
        <w:t xml:space="preserve">Ctrl+Shift+F9</w:t>
      </w:r>
      <w:r>
        <w:t xml:space="preserve"> </w:t>
      </w:r>
      <w:r>
        <w:t xml:space="preserve">to unlink fields — purges all 47 EndNote XML leaks and</w:t>
      </w:r>
      <w:r>
        <w:t xml:space="preserve"> </w:t>
      </w:r>
      <w:r>
        <w:rPr>
          <w:rStyle w:val="VerbatimChar"/>
        </w:rPr>
        <w:t xml:space="preserve">ADDIN EN.REFLIST</w:t>
      </w:r>
    </w:p>
    <w:p>
      <w:pPr>
        <w:pStyle w:val="Compact"/>
        <w:numPr>
          <w:ilvl w:val="0"/>
          <w:numId w:val="1003"/>
        </w:numPr>
      </w:pPr>
      <w:r>
        <w:t xml:space="preserve">Fix «کودرایچر»→«کوادریچر» (1483), «پژوهشات»→«پژوهش‌ها» (1489), «فصل سومم»→«فصل سوم» (473),</w:t>
      </w:r>
      <w:r>
        <w:t xml:space="preserve"> </w:t>
      </w:r>
      <w:r>
        <w:t xml:space="preserve">“Graduate Student”</w:t>
      </w:r>
      <w:r>
        <w:t xml:space="preserve">→</w:t>
      </w:r>
      <w:r>
        <w:t xml:space="preserve">“Graduate Studies”</w:t>
      </w:r>
      <w:r>
        <w:t xml:space="preserve"> </w:t>
      </w:r>
      <w:r>
        <w:t xml:space="preserve">(1829)</w:t>
      </w:r>
    </w:p>
    <w:p>
      <w:pPr>
        <w:pStyle w:val="Compact"/>
        <w:numPr>
          <w:ilvl w:val="0"/>
          <w:numId w:val="1003"/>
        </w:numPr>
      </w:pPr>
      <w:r>
        <w:t xml:space="preserve">Repair the committee-table merge defect (45–50)</w:t>
      </w:r>
    </w:p>
    <w:bookmarkEnd w:id="19"/>
    <w:bookmarkStart w:id="20" w:name="phase-2-structural-half-a-day"/>
    <w:p>
      <w:pPr>
        <w:pStyle w:val="Heading3"/>
      </w:pPr>
      <w:r>
        <w:t xml:space="preserve">Phase 2 — Structural (≈ half a day)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Write the Chapter 2 closing gap section</w:t>
      </w:r>
      <w:r>
        <w:t xml:space="preserve"> </w:t>
      </w:r>
      <w:r>
        <w:t xml:space="preserve">— a draft already exists in</w:t>
      </w:r>
      <w:r>
        <w:t xml:space="preserve"> </w:t>
      </w:r>
      <w:r>
        <w:rPr>
          <w:rStyle w:val="VerbatimChar"/>
        </w:rPr>
        <w:t xml:space="preserve">thesis_chapter/PROPOSED_ADDITIONS_FA.md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 one paragraph differentiating this work from Rezaei [8]</w:t>
      </w:r>
      <w:r>
        <w:t xml:space="preserve"> </w:t>
      </w:r>
      <w:r>
        <w:t xml:space="preserve">— state concretely what it did not cover (porosity? multilayer? 2-D pattern interaction?)</w:t>
      </w:r>
    </w:p>
    <w:p>
      <w:pPr>
        <w:pStyle w:val="Compact"/>
        <w:numPr>
          <w:ilvl w:val="0"/>
          <w:numId w:val="1004"/>
        </w:numPr>
      </w:pPr>
      <w:r>
        <w:t xml:space="preserve">Fix the</w:t>
      </w:r>
      <w:r>
        <w:t xml:space="preserve"> </w:t>
      </w:r>
      <w:r>
        <w:rPr>
          <w:b/>
          <w:bCs/>
        </w:rPr>
        <w:t xml:space="preserve">Table 4-7</w:t>
      </w:r>
      <w:r>
        <w:t xml:space="preserve"> </w:t>
      </w:r>
      <w:r>
        <w:t xml:space="preserve">cross-reference (1288) and restore the missing validation-summary table</w:t>
      </w:r>
    </w:p>
    <w:p>
      <w:pPr>
        <w:pStyle w:val="Compact"/>
        <w:numPr>
          <w:ilvl w:val="0"/>
          <w:numId w:val="1004"/>
        </w:numPr>
      </w:pPr>
      <w:r>
        <w:t xml:space="preserve">Restore</w:t>
      </w:r>
      <w:r>
        <w:t xml:space="preserve"> </w:t>
      </w:r>
      <w:r>
        <w:rPr>
          <w:b/>
          <w:bCs/>
        </w:rPr>
        <w:t xml:space="preserve">missing summary item ۸</w:t>
      </w:r>
      <w:r>
        <w:t xml:space="preserve"> </w:t>
      </w:r>
      <w:r>
        <w:t xml:space="preserve">in §4-21</w:t>
      </w:r>
    </w:p>
    <w:p>
      <w:pPr>
        <w:pStyle w:val="Compact"/>
        <w:numPr>
          <w:ilvl w:val="0"/>
          <w:numId w:val="1004"/>
        </w:numPr>
      </w:pPr>
      <w:r>
        <w:t xml:space="preserve">Fix</w:t>
      </w:r>
      <w:r>
        <w:t xml:space="preserve"> </w:t>
      </w:r>
      <w:r>
        <w:rPr>
          <w:b/>
          <w:bCs/>
        </w:rPr>
        <w:t xml:space="preserve">reference [2]</w:t>
      </w:r>
      <w:r>
        <w:t xml:space="preserve"> </w:t>
      </w:r>
      <w:r>
        <w:t xml:space="preserve">(no journal name); move Persian refs [7], [8] under the «منابع فارسی» heading or delete the empty heading</w:t>
      </w:r>
    </w:p>
    <w:p>
      <w:pPr>
        <w:pStyle w:val="Compact"/>
        <w:numPr>
          <w:ilvl w:val="0"/>
          <w:numId w:val="1004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cross-reference from Ch5/Appendix</w:t>
      </w:r>
      <w:r>
        <w:t xml:space="preserve"> </w:t>
      </w:r>
      <w:r>
        <w:t xml:space="preserve">to where the five validation tests actually live</w:t>
      </w:r>
    </w:p>
    <w:bookmarkEnd w:id="20"/>
    <w:bookmarkStart w:id="21" w:name="X918a6a8c1db591b071083dbb386e05b003d67ed"/>
    <w:p>
      <w:pPr>
        <w:pStyle w:val="Heading3"/>
      </w:pPr>
      <w:r>
        <w:t xml:space="preserve">Phase 3 — Technical hardening (highest value to the defense)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a quantitative error metric to validation test 5</w:t>
      </w:r>
      <w:r>
        <w:t xml:space="preserve"> </w:t>
      </w:r>
      <w:r>
        <w:t xml:space="preserve">— wave-speed or reflection-time error vs. Bagri &amp; Eslami.</w:t>
      </w:r>
      <w:r>
        <w:t xml:space="preserve"> </w:t>
      </w:r>
      <w:r>
        <w:rPr>
          <w:i/>
          <w:iCs/>
        </w:rPr>
        <w:t xml:space="preserve">This single fix removes your most exposed flank.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State the production mesh explicitly</w:t>
      </w:r>
      <w:r>
        <w:t xml:space="preserve"> </w:t>
      </w:r>
      <w:r>
        <w:t xml:space="preserve">in §4-3 (N_r, N_z, N_L, Δt used for all subsequent studies)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Add Newmark parameters</w:t>
      </w:r>
      <w:r>
        <w:t xml:space="preserve"> </w:t>
      </w:r>
      <w:r>
        <w:t xml:space="preserve">(β, γ) and a one-line stability justification to Ch3, with a pointer to Appendix A</w:t>
      </w:r>
    </w:p>
    <w:p>
      <w:pPr>
        <w:pStyle w:val="Compact"/>
        <w:numPr>
          <w:ilvl w:val="0"/>
          <w:numId w:val="1005"/>
        </w:numPr>
      </w:pPr>
      <w:r>
        <w:t xml:space="preserve">Add a</w:t>
      </w:r>
      <w:r>
        <w:t xml:space="preserve"> </w:t>
      </w:r>
      <w:r>
        <w:rPr>
          <w:b/>
          <w:bCs/>
        </w:rPr>
        <w:t xml:space="preserve">cited property-table cross-check</w:t>
      </w:r>
      <w:r>
        <w:t xml:space="preserve"> </w:t>
      </w:r>
      <w:r>
        <w:t xml:space="preserve">for the Halpin-Tsai / porosity mixing rules</w:t>
      </w:r>
    </w:p>
    <w:p>
      <w:pPr>
        <w:pStyle w:val="Compact"/>
        <w:numPr>
          <w:ilvl w:val="0"/>
          <w:numId w:val="1005"/>
        </w:numPr>
      </w:pPr>
      <w:r>
        <w:t xml:space="preserve">Add a sentence acknowledging the</w:t>
      </w:r>
      <w:r>
        <w:t xml:space="preserve"> </w:t>
      </w:r>
      <w:r>
        <w:rPr>
          <w:b/>
          <w:bCs/>
        </w:rPr>
        <w:t xml:space="preserve">Halpin-Tsai validity limit</w:t>
      </w:r>
      <w:r>
        <w:t xml:space="preserve"> </w:t>
      </w:r>
      <w:r>
        <w:t xml:space="preserve">at high GPL loading</w:t>
      </w:r>
    </w:p>
    <w:p>
      <w:pPr>
        <w:pStyle w:val="Compact"/>
        <w:numPr>
          <w:ilvl w:val="0"/>
          <w:numId w:val="1005"/>
        </w:numPr>
      </w:pPr>
      <w:r>
        <w:t xml:space="preserve">Restate the</w:t>
      </w:r>
      <w:r>
        <w:t xml:space="preserve"> </w:t>
      </w:r>
      <w:r>
        <w:rPr>
          <w:b/>
          <w:bCs/>
        </w:rPr>
        <w:t xml:space="preserve">reference-case baseline (0.883)</w:t>
      </w:r>
      <w:r>
        <w:t xml:space="preserve"> </w:t>
      </w:r>
      <w:r>
        <w:t xml:space="preserve">inside §4-9 where the</w:t>
      </w:r>
      <w:r>
        <w:t xml:space="preserve"> </w:t>
      </w:r>
      <w:r>
        <w:t xml:space="preserve">“26×”</w:t>
      </w:r>
      <w:r>
        <w:t xml:space="preserve"> </w:t>
      </w:r>
      <w:r>
        <w:t xml:space="preserve">claim is first made</w:t>
      </w:r>
    </w:p>
    <w:bookmarkEnd w:id="21"/>
    <w:bookmarkStart w:id="22" w:name="phase-4-polish-if-time-allows"/>
    <w:p>
      <w:pPr>
        <w:pStyle w:val="Heading3"/>
      </w:pPr>
      <w:r>
        <w:t xml:space="preserve">Phase 4 — Polish (if time allows)</w:t>
      </w:r>
    </w:p>
    <w:p>
      <w:pPr>
        <w:pStyle w:val="Compact"/>
        <w:numPr>
          <w:ilvl w:val="0"/>
          <w:numId w:val="1006"/>
        </w:numPr>
      </w:pPr>
      <w:r>
        <w:t xml:space="preserve">Global ZWNJ pass (41</w:t>
      </w:r>
      <w:r>
        <w:t xml:space="preserve"> </w:t>
      </w:r>
      <w:r>
        <w:rPr>
          <w:rStyle w:val="VerbatimChar"/>
        </w:rPr>
        <w:t xml:space="preserve">می</w:t>
      </w:r>
      <w:r>
        <w:t xml:space="preserve"> </w:t>
      </w:r>
      <w:r>
        <w:t xml:space="preserve">instances, 9 «بدست»)</w:t>
      </w:r>
    </w:p>
    <w:p>
      <w:pPr>
        <w:pStyle w:val="Compact"/>
        <w:numPr>
          <w:ilvl w:val="0"/>
          <w:numId w:val="1006"/>
        </w:numPr>
      </w:pPr>
      <w:r>
        <w:t xml:space="preserve">Unify heading numerals — pick Persian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Latin, not both (25 vs 11 currently)</w:t>
      </w:r>
    </w:p>
    <w:p>
      <w:pPr>
        <w:pStyle w:val="Compact"/>
        <w:numPr>
          <w:ilvl w:val="0"/>
          <w:numId w:val="1006"/>
        </w:numPr>
      </w:pPr>
      <w:r>
        <w:t xml:space="preserve">Fix the scattered typos and missing-ezafe items listed in §4</w:t>
      </w:r>
    </w:p>
    <w:p>
      <w:pPr>
        <w:pStyle w:val="Compact"/>
        <w:numPr>
          <w:ilvl w:val="0"/>
          <w:numId w:val="1006"/>
        </w:numPr>
      </w:pPr>
      <w:r>
        <w:t xml:space="preserve">Unify ترمو-مکانیکی hyphenation and the ضرایب/ضرائب, ارائه/ارایه variants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bottom-line"/>
    <w:p>
      <w:pPr>
        <w:pStyle w:val="Heading2"/>
      </w:pPr>
      <w:r>
        <w:t xml:space="preserve">7. Bottom Line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is defensible and in places genuinely impressive — the parametric breadth,</w:t>
      </w:r>
      <w:r>
        <w:t xml:space="preserve"> </w:t>
      </w:r>
      <w:r>
        <w:t xml:space="preserve">the five-test validation discipline, and the second-sound physical reasoning are all above</w:t>
      </w:r>
      <w:r>
        <w:t xml:space="preserve"> </w:t>
      </w:r>
      <w:r>
        <w:t xml:space="preserve">the MSc bar. The</w:t>
      </w:r>
      <w:r>
        <w:t xml:space="preserve"> </w:t>
      </w:r>
      <w:r>
        <w:rPr>
          <w:b/>
          <w:bCs/>
        </w:rPr>
        <w:t xml:space="preserve">document</w:t>
      </w:r>
      <w:r>
        <w:t xml:space="preserve"> </w:t>
      </w:r>
      <w:r>
        <w:t xml:space="preserve">is not yet ready: it still carries template text in two highly</w:t>
      </w:r>
      <w:r>
        <w:t xml:space="preserve"> </w:t>
      </w:r>
      <w:r>
        <w:t xml:space="preserve">visible places, unresolved citation field codes throughout, and one broken cross-reference in</w:t>
      </w:r>
      <w:r>
        <w:t xml:space="preserve"> </w:t>
      </w:r>
      <w:r>
        <w:t xml:space="preserve">the validation section.</w:t>
      </w:r>
    </w:p>
    <w:p>
      <w:pPr>
        <w:pStyle w:val="BodyText"/>
      </w:pPr>
      <w:r>
        <w:t xml:space="preserve">Phase 1 alone (about an hour of mechanical work) moves this from</w:t>
      </w:r>
      <w:r>
        <w:t xml:space="preserve"> </w:t>
      </w:r>
      <w:r>
        <w:rPr>
          <w:i/>
          <w:iCs/>
        </w:rPr>
        <w:t xml:space="preserve">“clearly a draft”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“a submitted thesis.”</w:t>
      </w:r>
      <w:r>
        <w:t xml:space="preserve"> </w:t>
      </w:r>
      <w:r>
        <w:t xml:space="preserve">Phase 3 item 14 is the one that most changes how the defense goes.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6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2026-08-29T12:13:52Z</dcterms:created>
  <dcterms:modified xsi:type="dcterms:W3CDTF">2026-08-29T12:13:52Z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ltr</vt:lpwstr>
  </property>
</Properties>
</file>