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19.png" ContentType="image/png"/>
  <Override PartName="/word/media/rId58.png" ContentType="image/png"/>
  <Override PartName="/word/media/rId61.png" ContentType="image/png"/>
  <Override PartName="/word/media/rId37.png" ContentType="image/png"/>
  <Override PartName="/word/media/rId40.png" ContentType="image/png"/>
  <Override PartName="/word/media/rId30.png" ContentType="image/png"/>
  <Override PartName="/word/media/rId33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1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79.png" ContentType="image/png"/>
  <Override PartName="/word/media/rId82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86.png" ContentType="image/png"/>
  <Override PartName="/word/media/rId89.png" ContentType="image/png"/>
  <Override PartName="/word/media/rId135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57e0e2c67a48d7f951bfe58505c7096ea22097e"/>
    <w:p>
      <w:pPr>
        <w:pStyle w:val="Heading1"/>
        <w:bidi/>
      </w:pPr>
      <w:r>
        <w:rPr>
          <w:rtl/>
        </w:rPr>
        <w:t xml:space="preserve">کاتالوگ نمودارها برای انتخاب شکل‌های فصل چهارم (رنگی)</w:t>
      </w:r>
    </w:p>
    <w:p>
      <w:pPr>
        <w:bidi/>
      </w:pPr>
      <w:r>
        <w:rPr>
          <w:rtl/>
        </w:rPr>
        <w:t xml:space="preserve">نسخهٔ</w:t>
      </w:r>
      <w:r>
        <w:rPr>
          <w:rtl/>
        </w:rPr>
        <w:t xml:space="preserve"> </w:t>
      </w:r>
      <w:r>
        <w:rPr>
          <w:b/>
          <w:bCs/>
          <w:rtl/>
        </w:rPr>
        <w:t xml:space="preserve">رنگی</w:t>
      </w:r>
      <w:r>
        <w:rPr>
          <w:rtl/>
        </w:rPr>
        <w:t xml:space="preserve"> </w:t>
      </w:r>
      <w:r>
        <w:rPr>
          <w:rtl/>
        </w:rPr>
        <w:t xml:space="preserve">کاتالوگ (هر حالت با یک رنگ متمایز). برای هر مطالعه، کمیت‌ها در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بخش جدا</w:t>
      </w:r>
      <w:r>
        <w:rPr>
          <w:rtl/>
        </w:rPr>
        <w:t xml:space="preserve"> </w:t>
      </w:r>
      <w:r>
        <w:rPr>
          <w:rtl/>
        </w:rPr>
        <w:t xml:space="preserve">آورده شده‌اند: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۱ — تاریخچه‌های زمانی (نقطهٔ میانی):</w:t>
      </w:r>
      <w:r>
        <w:rPr>
          <w:rtl/>
        </w:rPr>
        <w:t xml:space="preserve"> </w:t>
      </w:r>
      <w:r>
        <w:rPr>
          <w:rtl/>
        </w:rPr>
        <w:t xml:space="preserve">(۱)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(۲) جابجایی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(۳) جابجایی محوری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۲ — پروفیل‌های شعاعی در زمان نهایی (۸ پنل):</w:t>
      </w:r>
      <w:r>
        <w:rPr>
          <w:rtl/>
        </w:rPr>
        <w:t xml:space="preserve"> </w:t>
      </w:r>
      <w:r>
        <w:rPr>
          <w:rtl/>
        </w:rPr>
        <w:t xml:space="preserve">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 محیطی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جابجایی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شعاعی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r</m:t>
            </m:r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محیطی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  <m:r>
              <m:t>θ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محوری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z</m:t>
            </m:r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. (هر سه کرنش در زمان نهاییِ دقیق‌اند؛ کرنش 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تنش‌های ذخیره‌شدهٔ زمان نهایی به کمک قانون هوک محاسبه شده.)</w:t>
      </w:r>
    </w:p>
    <w:p>
      <w:pPr>
        <w:bidi/>
      </w:pPr>
      <w:r>
        <w:rPr>
          <w:rtl/>
        </w:rPr>
        <w:t xml:space="preserve">نسخهٔ سیاه‌وسفید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FIGURE_CATALOG_R5_FA.docx</w:t>
      </w:r>
      <w:r>
        <w:rPr>
          <w:rtl/>
        </w:rPr>
        <w:t xml:space="preserve"> </w:t>
      </w:r>
      <w:r>
        <w:rPr>
          <w:rtl/>
        </w:rPr>
        <w:t xml:space="preserve">موجود است.</w:t>
      </w:r>
    </w:p>
    <w:p>
      <w:pPr>
        <w:pStyle w:val="BlockText"/>
        <w:bidi/>
      </w:pPr>
      <w:r>
        <w:rPr>
          <w:b/>
          <w:bCs/>
          <w:rtl/>
        </w:rPr>
        <w:t xml:space="preserve">توجه:</w:t>
      </w:r>
      <w:r>
        <w:rPr>
          <w:rtl/>
        </w:rPr>
        <w:t xml:space="preserve"> </w:t>
      </w:r>
      <w:r>
        <w:rPr>
          <w:rtl/>
        </w:rPr>
        <w:t xml:space="preserve">تاریخچهٔ زمانیِ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و کرنش</w:t>
      </w:r>
      <w:r>
        <w:rPr>
          <w:rtl/>
        </w:rPr>
        <w:t xml:space="preserve"> </w:t>
      </w:r>
      <w:r>
        <w:rPr>
          <w:rtl/>
        </w:rPr>
        <w:t xml:space="preserve">در داده‌های ذخیره‌شده موجود نیست (فقط</w:t>
      </w:r>
      <w:r>
        <w:rPr>
          <w:rtl/>
        </w:rPr>
        <w:t xml:space="preserve"> </w:t>
      </w:r>
      <w:r>
        <w:rPr>
          <w:rtl/>
        </w:rPr>
        <w:t xml:space="preserve">تاریخچهٔ دما و جابجایی نقطهٔ میانی). اگر آن‌ها را هم بخواهید، کیس‌ها را با</w:t>
      </w:r>
      <w:r>
        <w:rPr>
          <w:rtl/>
        </w:rPr>
        <w:t xml:space="preserve"> </w:t>
      </w:r>
      <w:r>
        <w:rPr>
          <w:rtl/>
        </w:rPr>
        <w:t xml:space="preserve">ذخیرهٔ تاریخچهٔ کامل بازاجرا می‌کنم.</w:t>
      </w:r>
    </w:p>
    <w:p>
      <w:r>
        <w:pict>
          <v:rect style="width:0;height:1.5pt" o:hralign="center" o:hrstd="t" o:hr="t"/>
        </w:pict>
      </w:r>
    </w:p>
    <w:bookmarkStart w:id="15" w:name="X89baa634d91707f9b67c229847321fc58264c14"/>
    <w:p>
      <w:pPr>
        <w:pStyle w:val="Heading2"/>
        <w:bidi/>
      </w:pPr>
      <w:r>
        <w:rPr>
          <w:rtl/>
        </w:rPr>
        <w:t xml:space="preserve">بخش ۴-۵ — اثر الگوی توزیع پلاکت‌های گرافنی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A_hist" title="" id="10" name="Picture"/>
            <a:graphic>
              <a:graphicData uri="http://schemas.openxmlformats.org/drawingml/2006/picture">
                <pic:pic>
                  <pic:nvPicPr>
                    <pic:cNvPr descr="figures_catalog_color/A_GPL_patterns_h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A_prof" title="" id="13" name="Picture"/>
            <a:graphic>
              <a:graphicData uri="http://schemas.openxmlformats.org/drawingml/2006/picture">
                <pic:pic>
                  <pic:nvPicPr>
                    <pic:cNvPr descr="figures_catalog_color/A_GPL_patterns_pro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بخش-۴-۶-اثر-الگوی-توزیع-تخلخل-ud-o-x-v-a"/>
    <w:p>
      <w:pPr>
        <w:pStyle w:val="Heading2"/>
        <w:bidi/>
      </w:pPr>
      <w:r>
        <w:rPr>
          <w:rtl/>
        </w:rPr>
        <w:t xml:space="preserve">بخش ۴-۶ — اثر الگوی توزیع تخلخل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B_hist" title="" id="17" name="Picture"/>
            <a:graphic>
              <a:graphicData uri="http://schemas.openxmlformats.org/drawingml/2006/picture">
                <pic:pic>
                  <pic:nvPicPr>
                    <pic:cNvPr descr="figures_catalog_color/B_porosity_patterns_hi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B_prof" title="" id="20" name="Picture"/>
            <a:graphic>
              <a:graphicData uri="http://schemas.openxmlformats.org/drawingml/2006/picture">
                <pic:pic>
                  <pic:nvPicPr>
                    <pic:cNvPr descr="figures_catalog_color/B_porosity_patterns_pro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9" w:name="X5ebf38fffc1aa5603e4434069a005fb19abe619"/>
    <w:p>
      <w:pPr>
        <w:pStyle w:val="Heading2"/>
        <w:bidi/>
      </w:pPr>
      <w:r>
        <w:rPr>
          <w:rtl/>
        </w:rPr>
        <w:t xml:space="preserve">بخش ۴-۶ — اثر سطح تخلخل (e_{m3} = 0.9675 / 0.8980 / 0.7776)</w:t>
      </w:r>
    </w:p>
    <w:p>
      <w:pPr>
        <w:bidi/>
      </w:pPr>
      <w:r>
        <w:drawing>
          <wp:inline>
            <wp:extent cx="5334000" cy="1688231"/>
            <wp:effectExtent b="0" l="0" r="0" t="0"/>
            <wp:docPr descr="E_hist" title="" id="24" name="Picture"/>
            <a:graphic>
              <a:graphicData uri="http://schemas.openxmlformats.org/drawingml/2006/picture">
                <pic:pic>
                  <pic:nvPicPr>
                    <pic:cNvPr descr="figures_catalog_color/E_porosity_level_h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E_prof" title="" id="27" name="Picture"/>
            <a:graphic>
              <a:graphicData uri="http://schemas.openxmlformats.org/drawingml/2006/picture">
                <pic:pic>
                  <pic:nvPicPr>
                    <pic:cNvPr descr="figures_catalog_color/E_porosity_level_pro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بخش-۴-۷-اثر-کسر-وزنی-گرافن-w-0-1-4-8"/>
    <w:p>
      <w:pPr>
        <w:pStyle w:val="Heading2"/>
        <w:bidi/>
      </w:pPr>
      <w:r>
        <w:rPr>
          <w:rtl/>
        </w:rPr>
        <w:t xml:space="preserve">بخش ۴-۷ — اثر کسر وزنی گرافن (W = 0 / 1٪ / 4٪ / 8٪)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_hist" title="" id="31" name="Picture"/>
            <a:graphic>
              <a:graphicData uri="http://schemas.openxmlformats.org/drawingml/2006/picture">
                <pic:pic>
                  <pic:nvPicPr>
                    <pic:cNvPr descr="figures_catalog_color/D_GPL_fraction_h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_prof" title="" id="34" name="Picture"/>
            <a:graphic>
              <a:graphicData uri="http://schemas.openxmlformats.org/drawingml/2006/picture">
                <pic:pic>
                  <pic:nvPicPr>
                    <pic:cNvPr descr="figures_catalog_color/D_GPL_fraction_pro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بخش-۴-۷-کسر-وزنی-کم-گرافن-۰۱-۰۳-۰۵-۰۹-۱۵"/>
    <w:p>
      <w:pPr>
        <w:pStyle w:val="Heading2"/>
        <w:bidi/>
      </w:pPr>
      <w:r>
        <w:rPr>
          <w:rtl/>
        </w:rPr>
        <w:t xml:space="preserve">بخش ۴-۷ — کسر وزنی کمِ گرافن (۰٫۱ / ۰٫۳ / ۰٫۵ / ۰٫۹ / ۱٫۵٪)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2_hist" title="" id="38" name="Picture"/>
            <a:graphic>
              <a:graphicData uri="http://schemas.openxmlformats.org/drawingml/2006/picture">
                <pic:pic>
                  <pic:nvPicPr>
                    <pic:cNvPr descr="figures_catalog_color/D2_GPL_fill_hi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D2_prof" title="" id="41" name="Picture"/>
            <a:graphic>
              <a:graphicData uri="http://schemas.openxmlformats.org/drawingml/2006/picture">
                <pic:pic>
                  <pic:nvPicPr>
                    <pic:cNvPr descr="figures_catalog_color/D2_GPL_fill_pro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0" w:name="X36921b232125e58484aa5734ecf890cd665e406"/>
    <w:p>
      <w:pPr>
        <w:pStyle w:val="Heading2"/>
        <w:bidi/>
      </w:pPr>
      <w:r>
        <w:rPr>
          <w:rtl/>
        </w:rPr>
        <w:t xml:space="preserve">بخش ۴-۸ — نسبت ابعادی: طول به عرض پلاکت (2a/2b)</w:t>
      </w:r>
    </w:p>
    <w:p>
      <w:pPr>
        <w:bidi/>
      </w:pPr>
      <w:r>
        <w:drawing>
          <wp:inline>
            <wp:extent cx="5334000" cy="1688231"/>
            <wp:effectExtent b="0" l="0" r="0" t="0"/>
            <wp:docPr descr="O_hist" title="" id="45" name="Picture"/>
            <a:graphic>
              <a:graphicData uri="http://schemas.openxmlformats.org/drawingml/2006/picture">
                <pic:pic>
                  <pic:nvPicPr>
                    <pic:cNvPr descr="figures_catalog_color/O_aspect_length_hi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O_prof" title="" id="48" name="Picture"/>
            <a:graphic>
              <a:graphicData uri="http://schemas.openxmlformats.org/drawingml/2006/picture">
                <pic:pic>
                  <pic:nvPicPr>
                    <pic:cNvPr descr="figures_catalog_color/O_aspect_length_prof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Xd64a30d74af2597210fd19961abea654448d1d2"/>
    <w:p>
      <w:pPr>
        <w:pStyle w:val="Heading2"/>
        <w:bidi/>
      </w:pPr>
      <w:r>
        <w:rPr>
          <w:rtl/>
        </w:rPr>
        <w:t xml:space="preserve">بخش ۴-۸ — نسبت ابعادی: عرض به ضخامت پلاکت (2b/t)</w:t>
      </w:r>
    </w:p>
    <w:p>
      <w:pPr>
        <w:bidi/>
      </w:pPr>
      <w:r>
        <w:drawing>
          <wp:inline>
            <wp:extent cx="5334000" cy="1688231"/>
            <wp:effectExtent b="0" l="0" r="0" t="0"/>
            <wp:docPr descr="P_hist" title="" id="52" name="Picture"/>
            <a:graphic>
              <a:graphicData uri="http://schemas.openxmlformats.org/drawingml/2006/picture">
                <pic:pic>
                  <pic:nvPicPr>
                    <pic:cNvPr descr="figures_catalog_color/P_aspect_thick_hi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P_prof" title="" id="55" name="Picture"/>
            <a:graphic>
              <a:graphicData uri="http://schemas.openxmlformats.org/drawingml/2006/picture">
                <pic:pic>
                  <pic:nvPicPr>
                    <pic:cNvPr descr="figures_catalog_color/P_aspect_thick_pro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e4f8a997686749944e525a558823f640dbf574a"/>
    <w:p>
      <w:pPr>
        <w:pStyle w:val="Heading2"/>
        <w:bidi/>
      </w:pPr>
      <w:r>
        <w:rPr>
          <w:rtl/>
        </w:rPr>
        <w:t xml:space="preserve">بخش ۴-۹ — اثر زمان تخفیف (فوریه و τ* = 0.15 / 0.44 / 0.87)</w:t>
      </w:r>
    </w:p>
    <w:p>
      <w:pPr>
        <w:bidi/>
      </w:pPr>
      <w:r>
        <w:drawing>
          <wp:inline>
            <wp:extent cx="5334000" cy="1688231"/>
            <wp:effectExtent b="0" l="0" r="0" t="0"/>
            <wp:docPr descr="C_hist" title="" id="59" name="Picture"/>
            <a:graphic>
              <a:graphicData uri="http://schemas.openxmlformats.org/drawingml/2006/picture">
                <pic:pic>
                  <pic:nvPicPr>
                    <pic:cNvPr descr="figures_catalog_color/C_relaxation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C_prof" title="" id="62" name="Picture"/>
            <a:graphic>
              <a:graphicData uri="http://schemas.openxmlformats.org/drawingml/2006/picture">
                <pic:pic>
                  <pic:nvPicPr>
                    <pic:cNvPr descr="figures_catalog_color/C_relaxation_pro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1" w:name="بخش-۴-۱۰-اثر-شرایط-تکیهگاهی-s-s-s-c-c-c"/>
    <w:p>
      <w:pPr>
        <w:pStyle w:val="Heading2"/>
        <w:bidi/>
      </w:pPr>
      <w:r>
        <w:rPr>
          <w:rtl/>
        </w:rPr>
        <w:t xml:space="preserve">بخش ۴-۱۰ — اثر شرایط تکیه‌گاهی (S-S / S-C / C-C)</w:t>
      </w:r>
    </w:p>
    <w:p>
      <w:pPr>
        <w:bidi/>
      </w:pPr>
      <w:r>
        <w:drawing>
          <wp:inline>
            <wp:extent cx="5334000" cy="1688231"/>
            <wp:effectExtent b="0" l="0" r="0" t="0"/>
            <wp:docPr descr="F_hist" title="" id="66" name="Picture"/>
            <a:graphic>
              <a:graphicData uri="http://schemas.openxmlformats.org/drawingml/2006/picture">
                <pic:pic>
                  <pic:nvPicPr>
                    <pic:cNvPr descr="figures_catalog_color/F_end_BC_h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F_prof" title="" id="69" name="Picture"/>
            <a:graphic>
              <a:graphicData uri="http://schemas.openxmlformats.org/drawingml/2006/picture">
                <pic:pic>
                  <pic:nvPicPr>
                    <pic:cNvPr descr="figures_catalog_color/F_end_BC_pro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8" w:name="X8d1f00bb35bc50f8524dc246d684972617153d6"/>
    <w:p>
      <w:pPr>
        <w:pStyle w:val="Heading2"/>
        <w:bidi/>
      </w:pPr>
      <w:r>
        <w:rPr>
          <w:rtl/>
        </w:rPr>
        <w:t xml:space="preserve">بخش ۴-۱۱ — جاروب فشار داخلی (0 / 10 / 50 / 100 MPa)</w:t>
      </w:r>
    </w:p>
    <w:p>
      <w:pPr>
        <w:bidi/>
      </w:pPr>
      <w:r>
        <w:drawing>
          <wp:inline>
            <wp:extent cx="5334000" cy="1688231"/>
            <wp:effectExtent b="0" l="0" r="0" t="0"/>
            <wp:docPr descr="G_hist" title="" id="73" name="Picture"/>
            <a:graphic>
              <a:graphicData uri="http://schemas.openxmlformats.org/drawingml/2006/picture">
                <pic:pic>
                  <pic:nvPicPr>
                    <pic:cNvPr descr="figures_catalog_color/G_pressure_his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G_prof" title="" id="76" name="Picture"/>
            <a:graphic>
              <a:graphicData uri="http://schemas.openxmlformats.org/drawingml/2006/picture">
                <pic:pic>
                  <pic:nvPicPr>
                    <pic:cNvPr descr="figures_catalog_color/G_pressure_pro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بخش-۴-۱۱-فشار-هارمونیک-در-برابر-پلهای"/>
    <w:p>
      <w:pPr>
        <w:pStyle w:val="Heading2"/>
        <w:bidi/>
      </w:pPr>
      <w:r>
        <w:rPr>
          <w:rtl/>
        </w:rPr>
        <w:t xml:space="preserve">بخش ۴-۱۱ — فشار هارمونیک در برابر پله‌ای</w:t>
      </w:r>
    </w:p>
    <w:p>
      <w:pPr>
        <w:bidi/>
      </w:pPr>
      <w:r>
        <w:drawing>
          <wp:inline>
            <wp:extent cx="5334000" cy="1688231"/>
            <wp:effectExtent b="0" l="0" r="0" t="0"/>
            <wp:docPr descr="N_hist" title="" id="80" name="Picture"/>
            <a:graphic>
              <a:graphicData uri="http://schemas.openxmlformats.org/drawingml/2006/picture">
                <pic:pic>
                  <pic:nvPicPr>
                    <pic:cNvPr descr="figures_catalog_color/N_sine_pressure_his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N_prof" title="" id="83" name="Picture"/>
            <a:graphic>
              <a:graphicData uri="http://schemas.openxmlformats.org/drawingml/2006/picture">
                <pic:pic>
                  <pic:nvPicPr>
                    <pic:cNvPr descr="figures_catalog_color/N_sine_pressure_pro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Xc4ab342cbc74e0a0cda1dfe0e8f0343271708d9"/>
    <w:p>
      <w:pPr>
        <w:pStyle w:val="Heading2"/>
        <w:bidi/>
      </w:pPr>
      <w:r>
        <w:rPr>
          <w:rtl/>
        </w:rPr>
        <w:t xml:space="preserve">بخش ۴-۱۲ — اثر طول استوانه / حد نامحدود (L = 0.5 / 1 / 2 / 4)</w:t>
      </w:r>
    </w:p>
    <w:p>
      <w:pPr>
        <w:bidi/>
      </w:pPr>
      <w:r>
        <w:drawing>
          <wp:inline>
            <wp:extent cx="5334000" cy="1688231"/>
            <wp:effectExtent b="0" l="0" r="0" t="0"/>
            <wp:docPr descr="Q_hist" title="" id="87" name="Picture"/>
            <a:graphic>
              <a:graphicData uri="http://schemas.openxmlformats.org/drawingml/2006/picture">
                <pic:pic>
                  <pic:nvPicPr>
                    <pic:cNvPr descr="figures_catalog_color/Q_infinite_len_his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Q_prof" title="" id="90" name="Picture"/>
            <a:graphic>
              <a:graphicData uri="http://schemas.openxmlformats.org/drawingml/2006/picture">
                <pic:pic>
                  <pic:nvPicPr>
                    <pic:cNvPr descr="figures_catalog_color/Q_infinite_len_pro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9" w:name="بخش-۴-۱۳-برهمکنش-الگوهای-گرافن-و-تخلخل"/>
    <w:p>
      <w:pPr>
        <w:pStyle w:val="Heading2"/>
        <w:bidi/>
      </w:pPr>
      <w:r>
        <w:rPr>
          <w:rtl/>
        </w:rPr>
        <w:t xml:space="preserve">بخش ۴-۱۳ — برهم‌کنش الگوهای گرافن و تخلخل</w:t>
      </w:r>
    </w:p>
    <w:p>
      <w:pPr>
        <w:bidi/>
      </w:pPr>
      <w:r>
        <w:drawing>
          <wp:inline>
            <wp:extent cx="5334000" cy="1688231"/>
            <wp:effectExtent b="0" l="0" r="0" t="0"/>
            <wp:docPr descr="H_hist" title="" id="94" name="Picture"/>
            <a:graphic>
              <a:graphicData uri="http://schemas.openxmlformats.org/drawingml/2006/picture">
                <pic:pic>
                  <pic:nvPicPr>
                    <pic:cNvPr descr="figures_catalog_color/H_interaction_h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H_prof" title="" id="97" name="Picture"/>
            <a:graphic>
              <a:graphicData uri="http://schemas.openxmlformats.org/drawingml/2006/picture">
                <pic:pic>
                  <pic:nvPicPr>
                    <pic:cNvPr descr="figures_catalog_color/H_interaction_pro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Xaa90343fb524af7568fbd7ffec26a39e4796dcb"/>
    <w:p>
      <w:pPr>
        <w:pStyle w:val="Heading2"/>
        <w:bidi/>
      </w:pPr>
      <w:r>
        <w:rPr>
          <w:rtl/>
        </w:rPr>
        <w:t xml:space="preserve">بخش ۴-۱۴ — اثر ممزوج بودن معادلات (ممزوج / غیرممزوج)</w:t>
      </w:r>
    </w:p>
    <w:p>
      <w:pPr>
        <w:bidi/>
      </w:pPr>
      <w:r>
        <w:drawing>
          <wp:inline>
            <wp:extent cx="5334000" cy="1688231"/>
            <wp:effectExtent b="0" l="0" r="0" t="0"/>
            <wp:docPr descr="I_hist" title="" id="101" name="Picture"/>
            <a:graphic>
              <a:graphicData uri="http://schemas.openxmlformats.org/drawingml/2006/picture">
                <pic:pic>
                  <pic:nvPicPr>
                    <pic:cNvPr descr="figures_catalog_color/I_coupling_his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I_prof" title="" id="104" name="Picture"/>
            <a:graphic>
              <a:graphicData uri="http://schemas.openxmlformats.org/drawingml/2006/picture">
                <pic:pic>
                  <pic:nvPicPr>
                    <pic:cNvPr descr="figures_catalog_color/I_coupling_prof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X01ffbb4bc6fc46265036786f1bd25dab44cae4d"/>
    <w:p>
      <w:pPr>
        <w:pStyle w:val="Heading2"/>
        <w:bidi/>
      </w:pPr>
      <w:r>
        <w:rPr>
          <w:rtl/>
        </w:rPr>
        <w:t xml:space="preserve">بخش ۴-۱۵ — اثر ضریب همرفت سطح خارجی (h_c = 10 / 100 / 1000)</w:t>
      </w:r>
    </w:p>
    <w:p>
      <w:pPr>
        <w:bidi/>
      </w:pPr>
      <w:r>
        <w:drawing>
          <wp:inline>
            <wp:extent cx="5334000" cy="1688231"/>
            <wp:effectExtent b="0" l="0" r="0" t="0"/>
            <wp:docPr descr="J_hist" title="" id="108" name="Picture"/>
            <a:graphic>
              <a:graphicData uri="http://schemas.openxmlformats.org/drawingml/2006/picture">
                <pic:pic>
                  <pic:nvPicPr>
                    <pic:cNvPr descr="figures_catalog_color/J_convection_hi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J_prof" title="" id="111" name="Picture"/>
            <a:graphic>
              <a:graphicData uri="http://schemas.openxmlformats.org/drawingml/2006/picture">
                <pic:pic>
                  <pic:nvPicPr>
                    <pic:cNvPr descr="figures_catalog_color/J_convection_pro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0" w:name="X2d5c7fad089b56875e57b2c37084ef5bee7d438"/>
    <w:p>
      <w:pPr>
        <w:pStyle w:val="Heading2"/>
        <w:bidi/>
      </w:pPr>
      <w:r>
        <w:rPr>
          <w:rtl/>
        </w:rPr>
        <w:t xml:space="preserve">بخش ۴-۱۶ — اثر ضخامت جداره (R_o = 0.15 / 0.20 / 0.30)</w:t>
      </w:r>
    </w:p>
    <w:p>
      <w:pPr>
        <w:bidi/>
      </w:pPr>
      <w:r>
        <w:drawing>
          <wp:inline>
            <wp:extent cx="5334000" cy="1688231"/>
            <wp:effectExtent b="0" l="0" r="0" t="0"/>
            <wp:docPr descr="K_hist" title="" id="115" name="Picture"/>
            <a:graphic>
              <a:graphicData uri="http://schemas.openxmlformats.org/drawingml/2006/picture">
                <pic:pic>
                  <pic:nvPicPr>
                    <pic:cNvPr descr="figures_catalog_color/K_thickness_his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K_prof" title="" id="118" name="Picture"/>
            <a:graphic>
              <a:graphicData uri="http://schemas.openxmlformats.org/drawingml/2006/picture">
                <pic:pic>
                  <pic:nvPicPr>
                    <pic:cNvPr descr="figures_catalog_color/K_thickness_prof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بخش-۴-۳-همگرایی-لایهای-n_l-3-5-9-15"/>
    <w:p>
      <w:pPr>
        <w:pStyle w:val="Heading2"/>
        <w:bidi/>
      </w:pPr>
      <w:r>
        <w:rPr>
          <w:rtl/>
        </w:rPr>
        <w:t xml:space="preserve">بخش ۴-۳ — همگرایی لایه‌ای (N_L = 3 / 5 / 9 / 15)</w:t>
      </w:r>
    </w:p>
    <w:p>
      <w:pPr>
        <w:bidi/>
      </w:pPr>
      <w:r>
        <w:drawing>
          <wp:inline>
            <wp:extent cx="5334000" cy="1688231"/>
            <wp:effectExtent b="0" l="0" r="0" t="0"/>
            <wp:docPr descr="L_hist" title="" id="122" name="Picture"/>
            <a:graphic>
              <a:graphicData uri="http://schemas.openxmlformats.org/drawingml/2006/picture">
                <pic:pic>
                  <pic:nvPicPr>
                    <pic:cNvPr descr="figures_catalog_color/L_layers_his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L_prof" title="" id="125" name="Picture"/>
            <a:graphic>
              <a:graphicData uri="http://schemas.openxmlformats.org/drawingml/2006/picture">
                <pic:pic>
                  <pic:nvPicPr>
                    <pic:cNvPr descr="figures_catalog_color/L_layers_pro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4" w:name="X8933a277a376298336597aeba9b4b4f2bb71beb"/>
    <w:p>
      <w:pPr>
        <w:pStyle w:val="Heading2"/>
        <w:bidi/>
      </w:pPr>
      <w:r>
        <w:rPr>
          <w:rtl/>
        </w:rPr>
        <w:t xml:space="preserve">بخش ۴-۱۷ — پاسخ به شوک حرارتی گاوسی (لرد-شولمن / فوریه)</w:t>
      </w:r>
    </w:p>
    <w:p>
      <w:pPr>
        <w:bidi/>
      </w:pPr>
      <w:r>
        <w:drawing>
          <wp:inline>
            <wp:extent cx="5334000" cy="1688231"/>
            <wp:effectExtent b="0" l="0" r="0" t="0"/>
            <wp:docPr descr="M_hist" title="" id="129" name="Picture"/>
            <a:graphic>
              <a:graphicData uri="http://schemas.openxmlformats.org/drawingml/2006/picture">
                <pic:pic>
                  <pic:nvPicPr>
                    <pic:cNvPr descr="figures_catalog_color/M_gauss_shock_hist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M_prof" title="" id="132" name="Picture"/>
            <a:graphic>
              <a:graphicData uri="http://schemas.openxmlformats.org/drawingml/2006/picture">
                <pic:pic>
                  <pic:nvPicPr>
                    <pic:cNvPr descr="figures_catalog_color/M_gauss_shock_prof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41" w:name="بخش-۴-۲۰-مقایسه-تئوریهای-ترموالاستیسیته"/>
    <w:p>
      <w:pPr>
        <w:pStyle w:val="Heading2"/>
        <w:bidi/>
      </w:pPr>
      <w:r>
        <w:rPr>
          <w:rtl/>
        </w:rPr>
        <w:t xml:space="preserve">بخش ۴-۲۰ — مقایسهٔ تئوری‌های ترموالاستیسیته</w:t>
      </w:r>
    </w:p>
    <w:p>
      <w:pPr>
        <w:bidi/>
      </w:pPr>
      <w:r>
        <w:drawing>
          <wp:inline>
            <wp:extent cx="5334000" cy="1688231"/>
            <wp:effectExtent b="0" l="0" r="0" t="0"/>
            <wp:docPr descr="T3_hist" title="" id="136" name="Picture"/>
            <a:graphic>
              <a:graphicData uri="http://schemas.openxmlformats.org/drawingml/2006/picture">
                <pic:pic>
                  <pic:nvPicPr>
                    <pic:cNvPr descr="figures_catalog_color/T3_theories_his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T3_prof" title="" id="139" name="Picture"/>
            <a:graphic>
              <a:graphicData uri="http://schemas.openxmlformats.org/drawingml/2006/picture">
                <pic:pic>
                  <pic:nvPicPr>
                    <pic:cNvPr descr="figures_catalog_color/T3_theories_prof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35" Target="media/rId135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2026-07-28T17:34:45Z</dcterms:created>
  <dcterms:modified xsi:type="dcterms:W3CDTF">2026-07-28T17:34:45Z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