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فهرست-کامل-شکلهای-پایاننامه"/>
    <w:p>
      <w:pPr>
        <w:pStyle w:val="Heading1"/>
        <w:bidi/>
      </w:pPr>
      <w:r>
        <w:rPr>
          <w:rtl/>
        </w:rPr>
        <w:t xml:space="preserve">فهرست کاملِ شکل‌های پایان‌نامه</w:t>
      </w:r>
    </w:p>
    <w:p>
      <w:pPr>
        <w:bidi/>
      </w:pPr>
      <w:r>
        <w:rPr>
          <w:rtl/>
        </w:rPr>
        <w:t xml:space="preserve">این سند همهٔ شکل‌های پایان‌نامه را به ترتیبِ ظهور در فصل‌ها گرد می‌آورد؛ برای هر</w:t>
      </w:r>
      <w:r>
        <w:rPr>
          <w:rtl/>
        </w:rPr>
        <w:t xml:space="preserve"> </w:t>
      </w:r>
      <w:r>
        <w:rPr>
          <w:rtl/>
        </w:rPr>
        <w:t xml:space="preserve">شکل یک ردیف با شماره، شرح و نامِ پروندهٔ منبع آورده شده است. مجموعِ شکل‌ها:</w:t>
      </w:r>
      <w:r>
        <w:rPr>
          <w:rtl/>
        </w:rPr>
        <w:t xml:space="preserve"> </w:t>
      </w:r>
      <w:r>
        <w:rPr>
          <w:b/>
          <w:bCs/>
          <w:rtl/>
        </w:rPr>
        <w:t xml:space="preserve">۴۲</w:t>
      </w:r>
      <w:r>
        <w:rPr>
          <w:rtl/>
        </w:rPr>
        <w:t xml:space="preserve"> </w:t>
      </w:r>
      <w:r>
        <w:rPr>
          <w:rtl/>
        </w:rPr>
        <w:t xml:space="preserve">شکلِ شماره‌دار (فصل ۲: ۱، فصل ۳: ۵، فصل ۴: ۳۰) به‌علاوهٔ شکل‌های پیوستِ ب که برخی</w:t>
      </w:r>
      <w:r>
        <w:rPr>
          <w:rtl/>
        </w:rPr>
        <w:t xml:space="preserve"> </w:t>
      </w:r>
      <w:r>
        <w:rPr>
          <w:rtl/>
        </w:rPr>
        <w:t xml:space="preserve">از همان شکل‌های صحت‌سنجیِ فصل ۴ را بازاستفاده می‌کنند.</w:t>
      </w:r>
    </w:p>
    <w:p>
      <w:r>
        <w:pict>
          <v:rect style="width:0;height:1.5pt" o:hralign="center" o:hrstd="t" o:hr="t"/>
        </w:pict>
      </w:r>
    </w:p>
    <w:bookmarkStart w:id="9" w:name="فصل-۲-پیشینه-پژوهش"/>
    <w:p>
      <w:pPr>
        <w:pStyle w:val="Heading2"/>
        <w:bidi/>
      </w:pPr>
      <w:r>
        <w:rPr>
          <w:rtl/>
        </w:rPr>
        <w:t xml:space="preserve">فصل ۲ — پیشینه پژوهش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شماره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شرح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پرونده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شکل ۲-۱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رده‌بندی نظریه‌های ترموالاستیسیته: کلاسیک (فوریه، سرعت موج بی‌نهایت) و تعمیم‌یافته (هذلولوی، سرعت محدود/صوت دوم) شامل لرد–شولمن، گرین–لیندزی، گرین–نگدی و تأخیر دوفازی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  <w:rtl/>
              </w:rPr>
              <w:t xml:space="preserve">figures_ch123/theory_taxonomy.png</w:t>
            </w:r>
          </w:p>
        </w:tc>
      </w:tr>
    </w:tbl>
    <w:bookmarkEnd w:id="9"/>
    <w:bookmarkStart w:id="10" w:name="فصل-۳-روششناسی"/>
    <w:p>
      <w:pPr>
        <w:pStyle w:val="Heading2"/>
        <w:bidi/>
      </w:pPr>
      <w:r>
        <w:rPr>
          <w:rtl/>
        </w:rPr>
        <w:t xml:space="preserve">فصل ۳ — روش‌شناسی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شماره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شرح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پرونده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شکل ۳-۱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نمای شماتیکِ استوانهٔ توخالیِ چندلایه: مقطع عرضی و دامنهٔ محاسباتیِ r-z، با شوک حرارتی+فشار داخلی، همرفتِ خارجی و دو سرِ عایق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  <w:rtl/>
              </w:rPr>
              <w:t xml:space="preserve">figures_ch123/geometry_schematic.png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شکل ۳-۲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توزیع کسر وزنیِ پلاکت‌های گرافن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G</m:t>
                  </m:r>
                  <m:r>
                    <m:t>P</m:t>
                  </m:r>
                  <m:r>
                    <m:t>L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در راستای ضخامت برای پنج الگوی UD، O، X، V و A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  <w:rtl/>
              </w:rPr>
              <w:t xml:space="preserve">figures_ch123/GPL_patterns_schematic.png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شکل ۳-۳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توزیع ضریب جرمیِ تخلخل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/</m:t>
              </m:r>
              <m:sSub>
                <m:e>
                  <m:r>
                    <m:t>ρ</m:t>
                  </m:r>
                </m:e>
                <m:sub>
                  <m:r>
                    <m:t>s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در راستای ضخامت برای پنج الگوی UD، O، X، V و A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  <w:rtl/>
              </w:rPr>
              <w:t xml:space="preserve">figures_ch123/porosity_patterns_schematic.png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شکل ۳-۴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توزیع نقاطِ چبیشف–گاوس–لوباتو — نمایش با ۹ نقطه در هر راستا برای وضوح (مقدار واقعیِ محاسبات: N_r=15، N_z=11)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  <w:rtl/>
              </w:rPr>
              <w:t xml:space="preserve">figures_ch123/DQM_nodes_schematic.png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شکل ۳-۵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روندنمای الگوریتم حل: خواصِ مؤثر، ساخت شبکه و ماتریس‌های DQ، مونتاژِ [M]،[C]،[K] و پیشرویِ زمانیِ نیومارک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  <w:rtl/>
              </w:rPr>
              <w:t xml:space="preserve">figures_ch123/solution_flowchart.png</w:t>
            </w:r>
          </w:p>
        </w:tc>
      </w:tr>
    </w:tbl>
    <w:bookmarkEnd w:id="10"/>
    <w:bookmarkStart w:id="11" w:name="فصل-۴-یافتههای-پژوهش"/>
    <w:p>
      <w:pPr>
        <w:pStyle w:val="Heading2"/>
        <w:bidi/>
      </w:pPr>
      <w:r>
        <w:rPr>
          <w:rtl/>
        </w:rPr>
        <w:t xml:space="preserve">فصل ۴ — یافته‌های پژوهش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شماره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شرح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پرونده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شکل ۴-۱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همگرایی نقاط شعاعی — پروفیل تنش محیطی و دما برای N_r = ۷…۱۵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  <w:rtl/>
              </w:rPr>
              <w:t xml:space="preserve">conv_Nr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شکل ۴-۲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همگرایی نقاط محوری — پروفیل‌ها برای N_z = ۵…۱۵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  <w:rtl/>
              </w:rPr>
              <w:t xml:space="preserve">conv_Nz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شکل ۴-۳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همگرایی تعداد لایه‌ها — پروفیل‌ها برای N_L = ۳…۱۵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  <w:rtl/>
              </w:rPr>
              <w:t xml:space="preserve">conv_NL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شکل ۴-۴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صحت‌سنجی (مکانیکی) — جابجایی شعاعیِ بی‌بعدِ سطح داخلی در برابر ملک‌زاده و حیدرپور (۲۰۱۲) و ستونِ انسیسِ همان مرجع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  <w:rtl/>
              </w:rPr>
              <w:t xml:space="preserve">bench1_U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شکل ۴-۵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صحت‌سنجی (حرارتی) — پروفیل‌های دمای گذرا در برابر حل دقیقِ سریِ بسل در t = ۲، ۱۰ و ۴۰ ثانیه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  <w:rtl/>
              </w:rPr>
              <w:t xml:space="preserve">bench2_T_profiles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شکل ۴-۶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اثر الگوی توزیع گرافن (UD، O، X، V، A) بر تاریخچه‌های T* و U* و پروفیل‌های نهاییِ T* و Σθθ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  <w:rtl/>
              </w:rPr>
              <w:t xml:space="preserve">A_GPL_patterns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شکل ۴-۷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اثر الگوی توزیع تخلخل (UD، O، X، V، A) با گرافن یکنواخت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  <w:rtl/>
              </w:rPr>
              <w:t xml:space="preserve">B_porosity_patterns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شکل ۴-۸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اثر شدت تخلخل e_m3 = ۰٫۹۶۷۵ / ۰٫۸۶۰۴ / ۰٫۷۷۷۶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  <w:rtl/>
              </w:rPr>
              <w:t xml:space="preserve">E_porosity_level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شکل ۴-۹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اثر کسر وزنی گرافن (گسترهٔ پایین) W = ۰٫۱ / ۰٫۳ / ۰٫۵ / ۰٫۹ / ۱٫۵ درصد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  <w:rtl/>
              </w:rPr>
              <w:t xml:space="preserve">D_wt_low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شکل ۴-۱۰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اثر کسر وزنی گرافن (گسترهٔ بالا) W = ۱ / ۲ / ۴ / ۸ درصد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  <w:rtl/>
              </w:rPr>
              <w:t xml:space="preserve">D2_wt_high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شکل ۴-۱۱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اثر نسبت ابعادیِ طول‌به‌عرضِ پلاکت a/b = ۱٫۰ / ۱٫۶۷ / ۲٫۶۷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  <w:rtl/>
              </w:rPr>
              <w:t xml:space="preserve">O_aspect_ab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شکل ۴-۱۲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اثر نسبت ابعادیِ عرض‌به‌ضخامتِ پلاکت b/t = ۵۰۰ / ۱۰۰۰ / ۲۰۰۰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  <w:rtl/>
              </w:rPr>
              <w:t xml:space="preserve">P_aspect_bt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شکل ۴-۱۳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اثر زمان تخفیف — فوریه (τ</w:t>
            </w:r>
            <w:r>
              <w:rPr>
                <w:i/>
                <w:iCs/>
                <w:rtl/>
              </w:rPr>
              <w:t xml:space="preserve">=0) و لرد–شولمن τ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= ۰٫۰۴ / ۰٫۱۵ / ۰٫۴۴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  <w:rtl/>
              </w:rPr>
              <w:t xml:space="preserve">C_relaxation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شکل ۴-۱۴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اثر شرایط تکیه‌گاهیِ دو سر — ساده (S-S)، مخلوط (S-C) و گیردار (C-C)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  <w:rtl/>
              </w:rPr>
              <w:t xml:space="preserve">F_end_BC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شکل ۴-۱۵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اثر فشار داخلی P_i = ۰ / ۱۰ / ۵۰ / ۱۰۰ مگاپاسکال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  <w:rtl/>
              </w:rPr>
              <w:t xml:space="preserve">G_pressure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شکل ۴-۱۶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اثر طول استوانه L = ۱ / ۲٫۱ / ۵ / ۱۰ متر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  <w:rtl/>
              </w:rPr>
              <w:t xml:space="preserve">Q_length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شکل ۴-۱۷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ماتریس کاملِ ۲۵حالتهٔ گرافن×تخلخل — دمای بی‌بعدِ عرضِ‌جداره T*(ξ) برای هر جفت الگو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  <w:rtl/>
              </w:rPr>
              <w:t xml:space="preserve">matrix25_Tstar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شکل ۴-۱۸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ماتریس کاملِ ۲۵حالتهٔ گرافن×تخلخل — پروفیل تنش محیطی Σθθ(ξ) برای هر جفت الگو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  <w:rtl/>
              </w:rPr>
              <w:t xml:space="preserve">matrix25_Sigma_thth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شکل ۴-۱۹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مقایسهٔ الگوهای گرافن (UD، O، X، V، A) در تخلخل یکنواخت (UD)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  <w:rtl/>
              </w:rPr>
              <w:t xml:space="preserve">gplpor_porUD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شکل ۴-۲۰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مقایسهٔ الگوهای گرافن در تخلخل نوع O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  <w:rtl/>
              </w:rPr>
              <w:t xml:space="preserve">gplpor_porO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شکل ۴-۲۱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مقایسهٔ الگوهای گرافن در تخلخل نوع X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  <w:rtl/>
              </w:rPr>
              <w:t xml:space="preserve">gplpor_porX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شکل ۴-۲۲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مقایسهٔ الگوهای گرافن در تخلخل نوع V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  <w:rtl/>
              </w:rPr>
              <w:t xml:space="preserve">gplpor_porV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شکل ۴-۲۳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مقایسهٔ الگوهای گرافن در تخلخل نوع A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  <w:rtl/>
              </w:rPr>
              <w:t xml:space="preserve">gplpor_porA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شکل ۴-۲۴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بهترین و بدترین ترکیب‌های گرافن×تخلخل در برابرِ مرجعِ UD-UD: V-A، A-UD، X-V و O-A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  <w:rtl/>
              </w:rPr>
              <w:t xml:space="preserve">bestworst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شکل ۴-۲۵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اثر ممزوج بودن معادلات — کاملاً ممزوج در برابر معادلهٔ انرژیِ غیرممزوج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  <w:rtl/>
              </w:rPr>
              <w:t xml:space="preserve">I_coupling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شکل ۴-۲۶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اثر ضریب همرفتِ سطح خارجی h_c = ۱۰ / ۱۰۰ / ۱۰۰۰ وات بر مترمربع‌کلوین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  <w:rtl/>
              </w:rPr>
              <w:t xml:space="preserve">J_convection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شکل ۴-۲۷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اثر ضخامت جداره، نسبت شعاعی R_o/R_i = ۱٫۲۵ / ۱٫۵ / ۲٫۰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  <w:rtl/>
              </w:rPr>
              <w:t xml:space="preserve">K_thickness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شکل ۴-۲۸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پاسخ به شوک حرارتیِ گاوسی — لرد–شولمن در برابر فوریه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  <w:rtl/>
              </w:rPr>
              <w:t xml:space="preserve">M_gauss_shock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شکل ۴-۲۹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همگراییِ گسسته‌سازیِ مکانی: بیشینهٔ خطا برحسبِ N برای DQM/FDM/FEM (خطِ نقطه‌چین: شیبِ −۲)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  <w:rtl/>
              </w:rPr>
              <w:t xml:space="preserve">spatial_convergence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شکل ۴-۳۰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مقایسهٔ نظریه‌های ترموالاستیسیتهٔ تعمیم‌یافته — فوریه، لرد–شولمن، تأخیر دوفازی و گرین–نگدی نوع سوم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  <w:rtl/>
              </w:rPr>
              <w:t xml:space="preserve">T3_theories</w:t>
            </w:r>
          </w:p>
        </w:tc>
      </w:tr>
    </w:tbl>
    <w:bookmarkEnd w:id="11"/>
    <w:bookmarkStart w:id="12" w:name="پیوست-ب-صحتسنجی-و-راستیآزمایی"/>
    <w:p>
      <w:pPr>
        <w:pStyle w:val="Heading2"/>
        <w:bidi/>
      </w:pPr>
      <w:r>
        <w:rPr>
          <w:rtl/>
        </w:rPr>
        <w:t xml:space="preserve">پیوست ب — صحت‌سنجی و راستی‌آزمایی</w:t>
      </w:r>
    </w:p>
    <w:p>
      <w:pPr>
        <w:bidi/>
      </w:pPr>
      <w:r>
        <w:rPr>
          <w:rtl/>
        </w:rPr>
        <w:t xml:space="preserve">پیوست ب شکل‌های صحت‌سنجی را گرد می‌آورد؛ سه مورد از آن‌ها نموداری‌اند و بقیه در</w:t>
      </w:r>
      <w:r>
        <w:rPr>
          <w:rtl/>
        </w:rPr>
        <w:t xml:space="preserve"> </w:t>
      </w:r>
      <w:r>
        <w:rPr>
          <w:rtl/>
        </w:rPr>
        <w:t xml:space="preserve">جدول گزارش شده‌اند. شکل‌های نموداریِ بازاستفاده‌شده از فصل ۴: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شماره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شرح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پرونده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شکل ب-۱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صحت‌سنجی مکانیکی (همان شکل ۴-۴)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  <w:rtl/>
              </w:rPr>
              <w:t xml:space="preserve">bench1_U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شکل ب-۲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صحت‌سنجی حرارتی (همان شکل ۴-۵)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  <w:rtl/>
              </w:rPr>
              <w:t xml:space="preserve">bench2_T_profiles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شکل ب-۳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صحت‌سنجیِ امواج لرد–شولمن — پیشانی‌های دمای صوت دوم در برابر باقری و اسلامی (۲۰۰۷)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  <w:rtl/>
              </w:rPr>
              <w:t xml:space="preserve">figures_ch4_bw/bench3_theta.png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,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figures_ch4_color/bench3_theta.png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—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همگراییِ شبکه/مکان (همان شکل‌های ۴-۱، ۴-۲، ۴-۲۹)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  <w:rtl/>
              </w:rPr>
              <w:t xml:space="preserve">conv_Nr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,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conv_Nz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,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spatial_convergence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bidi/>
      </w:pPr>
      <w:r>
        <w:rPr>
          <w:b/>
          <w:bCs/>
          <w:rtl/>
        </w:rPr>
        <w:t xml:space="preserve">یادداشت ساخت:</w:t>
      </w:r>
      <w:r>
        <w:rPr>
          <w:rtl/>
        </w:rPr>
        <w:t xml:space="preserve"> </w:t>
      </w:r>
      <w:r>
        <w:rPr>
          <w:rtl/>
        </w:rPr>
        <w:t xml:space="preserve">پرونده‌های فصل ۴ در دو نسخهٔ سیاه‌وسفید و رنگی نگه‌داری می‌شوند</w:t>
      </w:r>
      <w:r>
        <w:rPr>
          <w:rtl/>
        </w:rPr>
        <w:t xml:space="preserve"> </w:t>
      </w:r>
      <w:r>
        <w:rPr>
          <w:rtl/>
        </w:rPr>
        <w:t xml:space="preserve">(</w:t>
      </w:r>
      <w:r>
        <w:rPr>
          <w:rStyle w:val="VerbatimChar"/>
          <w:rtl/>
        </w:rPr>
        <w:t xml:space="preserve">figures_ch4_bw/</w:t>
      </w:r>
      <w:r>
        <w:rPr>
          <w:rtl/>
        </w:rPr>
        <w:t xml:space="preserve"> </w:t>
      </w:r>
      <w:r>
        <w:rPr>
          <w:rtl/>
        </w:rPr>
        <w:t xml:space="preserve">و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figures_ch4_color/</w:t>
      </w:r>
      <w:r>
        <w:rPr>
          <w:rtl/>
        </w:rPr>
        <w:t xml:space="preserve">)؛ منبعِ اصلیِ ترسیم در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results_campaign/figures_{print,color}/</w:t>
      </w:r>
      <w:r>
        <w:rPr>
          <w:rtl/>
        </w:rPr>
        <w:t xml:space="preserve"> </w:t>
      </w:r>
      <w:r>
        <w:rPr>
          <w:rtl/>
        </w:rPr>
        <w:t xml:space="preserve">و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results_extensions/figures_{print,color}/</w:t>
      </w:r>
      <w:r>
        <w:rPr>
          <w:rtl/>
        </w:rPr>
        <w:t xml:space="preserve"> </w:t>
      </w:r>
      <w:r>
        <w:rPr>
          <w:rtl/>
        </w:rPr>
        <w:t xml:space="preserve">است. برای ساختِ یک پروندهٔ واحدِ تصویری (همهٔ ۴۲ شکل با تصویر جاسازی‌شده) کافی است</w:t>
      </w:r>
      <w:r>
        <w:rPr>
          <w:rtl/>
        </w:rPr>
        <w:t xml:space="preserve"> </w:t>
      </w:r>
      <w:r>
        <w:rPr>
          <w:rtl/>
        </w:rPr>
        <w:t xml:space="preserve">هر کلید بالا به مسیرِ پروندهٔ متناظرش نگاشت و در یک docx مونتاژ شود.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fa-I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fa-IR</dc:language>
  <cp:keywords/>
  <dcterms:created xsi:type="dcterms:W3CDTF">2026-08-06T00:51:42Z</dcterms:created>
  <dcterms:modified xsi:type="dcterms:W3CDTF">2026-08-06T00:51:42Z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r">
    <vt:lpwstr>rtl</vt:lpwstr>
  </property>
</Properties>
</file>