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819972447d9620f2fdbc5cacfa774abec7df332"/>
    <w:p>
      <w:pPr>
        <w:pStyle w:val="Heading1"/>
      </w:pPr>
      <w:r>
        <w:t xml:space="preserve">Appendix A. The Newmark time-integration method and the comparison methods</w:t>
      </w:r>
    </w:p>
    <w:p>
      <w:pPr>
        <w:pStyle w:val="FirstParagraph"/>
      </w:pPr>
      <w:r>
        <w:t xml:space="preserve">This appendix describes the Newmark time-integration scheme used for all</w:t>
      </w:r>
      <w:r>
        <w:t xml:space="preserve"> </w:t>
      </w:r>
      <w:r>
        <w:t xml:space="preserve">transient solutions of this thesis, and briefly the alternative time-integration</w:t>
      </w:r>
      <w:r>
        <w:t xml:space="preserve"> </w:t>
      </w:r>
      <w:r>
        <w:t xml:space="preserve">and spatial-discretization methods used in the method-comparison studies of</w:t>
      </w:r>
      <w:r>
        <w:t xml:space="preserve"> </w:t>
      </w:r>
      <w:r>
        <w:t xml:space="preserve">Chapter 4 (Sections 4-18 to 4-19).</w:t>
      </w:r>
    </w:p>
    <w:bookmarkStart w:id="9" w:name="a.1-the-semi-discrete-system"/>
    <w:p>
      <w:pPr>
        <w:pStyle w:val="Heading2"/>
      </w:pPr>
      <w:r>
        <w:t xml:space="preserve">A.1 The semi-discrete system</w:t>
      </w:r>
    </w:p>
    <w:p>
      <w:pPr>
        <w:pStyle w:val="FirstParagraph"/>
      </w:pPr>
      <w:r>
        <w:t xml:space="preserve">After the layerwise differential-quadrature (DQM) discretization in 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plane described in Chapter 3, the coupled Lord-Shulman thermoelastic problem is</w:t>
      </w:r>
      <w:r>
        <w:t xml:space="preserve"> </w:t>
      </w:r>
      <w:r>
        <w:t xml:space="preserve">reduced to a system of ordinary differential equations in time for the vector of</w:t>
      </w:r>
      <w:r>
        <w:t xml:space="preserve"> </w:t>
      </w:r>
      <w:r>
        <w:t xml:space="preserve">nodal unknowns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θ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u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w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θ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collect the nodal</w:t>
      </w:r>
      <w:r>
        <w:t xml:space="preserve"> </w:t>
      </w:r>
      <w:r>
        <w:t xml:space="preserve">temperature increment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and the radial and axial</w:t>
      </w:r>
      <w:r>
        <w:t xml:space="preserve"> </w:t>
      </w:r>
      <w:r>
        <w:t xml:space="preserve">displacements at all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grid points of all layers. The semi-discrete system</w:t>
      </w:r>
      <w:r>
        <w:t xml:space="preserve"> </w:t>
      </w:r>
      <w:r>
        <w:t xml:space="preserve">is written in the unified second-order form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M</m:t>
          </m:r>
          <m:r>
            <m:t> </m:t>
          </m:r>
          <m:acc>
            <m:accPr>
              <m:chr m:val="̈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t> </m:t>
          </m:r>
          <m:acc>
            <m:accPr>
              <m:chr m:val="̇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K</m:t>
          </m:r>
          <m:r>
            <m:t> 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three matrices are assembled directly from the governing equations: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Mechanical rows</w:t>
      </w:r>
      <w:r>
        <w:t xml:space="preserve"> </w:t>
      </w:r>
      <w:r>
        <w:t xml:space="preserve">(</w:t>
      </w:r>
      <m:oMath>
        <m:r>
          <m:rPr>
            <m:sty m:val="bi"/>
          </m:rPr>
          <m:t>u</m:t>
        </m:r>
        <m:r>
          <m:rPr>
            <m:sty m:val="p"/>
          </m:rPr>
          <m:t>,</m:t>
        </m:r>
        <m:r>
          <m:rPr>
            <m:sty m:val="bi"/>
          </m:rPr>
          <m:t>w</m:t>
        </m:r>
      </m:oMath>
      <w:r>
        <w:t xml:space="preserve">): the momentum equations</w:t>
      </w:r>
      <w:r>
        <w:t xml:space="preserve"> </w:t>
      </w:r>
      <m:oMath>
        <m:r>
          <m:t>ρ</m:t>
        </m:r>
        <m:acc>
          <m:accPr>
            <m:chr m:val="̈"/>
          </m:accPr>
          <m:e>
            <m:r>
              <m:t>u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script"/>
            <m:sty m:val="p"/>
          </m:rPr>
          <m:t>L</m:t>
        </m:r>
        <m:r>
          <m:rPr>
            <m:sty m:val="bi"/>
          </m:rPr>
          <m:t>u</m:t>
        </m:r>
        <m:sSub>
          <m:e>
            <m:r>
              <m:rPr>
                <m:sty m:val="p"/>
              </m:rPr>
              <m:t>)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acc>
          <m:accPr>
            <m:chr m:val="‾"/>
          </m:accPr>
          <m:e>
            <m:r>
              <m:t>β</m:t>
            </m:r>
          </m:e>
        </m:acc>
        <m:r>
          <m:t> </m:t>
        </m:r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second order in time, so they contribute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, nothing to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(elastodynamics is undamped), and the elastic operator together</w:t>
      </w:r>
      <w:r>
        <w:t xml:space="preserve"> </w:t>
      </w:r>
      <w:r>
        <w:t xml:space="preserve">with the thermoelastic coupling</w:t>
      </w:r>
      <w:r>
        <w:t xml:space="preserve"> </w:t>
      </w:r>
      <m:oMath>
        <m:acc>
          <m:accPr>
            <m:chr m:val="‾"/>
          </m:accPr>
          <m:e>
            <m:r>
              <m:t>β</m:t>
            </m:r>
          </m:e>
        </m:acc>
        <m:r>
          <m:t> </m:t>
        </m:r>
        <m:r>
          <m:rPr>
            <m:sty m:val="p"/>
          </m:rPr>
          <m:t>∂</m:t>
        </m:r>
        <m:r>
          <m:t>θ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Thermal rows</w:t>
      </w:r>
      <w:r>
        <w:t xml:space="preserve"> </w:t>
      </w:r>
      <w:r>
        <w:t xml:space="preserve">(</w:t>
      </w:r>
      <m:oMath>
        <m:r>
          <m:rPr>
            <m:sty m:val="bi"/>
          </m:rPr>
          <m:t>θ</m:t>
        </m:r>
      </m:oMath>
      <w:r>
        <w:t xml:space="preserve">) under Lord-Shulman: the energy</w:t>
      </w:r>
      <w:r>
        <w:t xml:space="preserve"> </w:t>
      </w:r>
      <w:r>
        <w:t xml:space="preserve">equation</w:t>
      </w:r>
      <w:r>
        <w:t xml:space="preserve"> </w:t>
      </w:r>
      <m:oMath>
        <m:r>
          <m:t>ρ</m:t>
        </m:r>
        <m:r>
          <m:t>c</m:t>
        </m:r>
        <m:r>
          <m:rPr>
            <m:sty m:val="p"/>
          </m:rPr>
          <m:t>(</m:t>
        </m:r>
        <m:acc>
          <m:accPr>
            <m:chr m:val="̇"/>
          </m:accPr>
          <m:e>
            <m:r>
              <m:t>θ</m:t>
            </m:r>
          </m:e>
        </m:acc>
        <m:r>
          <m:rPr>
            <m:sty m:val="p"/>
          </m:rPr>
          <m:t>+</m:t>
        </m:r>
        <m:sSub>
          <m:e>
            <m:r>
              <m:t>τ</m:t>
            </m:r>
          </m:e>
          <m:sub>
            <m:r>
              <m:t>0</m:t>
            </m:r>
          </m:sub>
        </m:sSub>
        <m:acc>
          <m:accPr>
            <m:chr m:val="̈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β</m:t>
            </m:r>
          </m:e>
        </m:acc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̇"/>
          </m:accPr>
          <m:e>
            <m:r>
              <m:t>e</m:t>
            </m:r>
          </m:e>
        </m:acc>
        <m:r>
          <m:rPr>
            <m:sty m:val="p"/>
          </m:rPr>
          <m:t>+</m:t>
        </m:r>
        <m:sSub>
          <m:e>
            <m:r>
              <m:t>τ</m:t>
            </m:r>
          </m:e>
          <m:sub>
            <m:r>
              <m:t>0</m:t>
            </m:r>
          </m:sub>
        </m:sSub>
        <m:acc>
          <m:accPr>
            <m:chr m:val="̈"/>
          </m:accPr>
          <m:e>
            <m:r>
              <m:t>e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t>​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∇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t>ρ</m:t>
        </m:r>
        <m:r>
          <m:t>c</m:t>
        </m:r>
        <m:r>
          <m:t> </m:t>
        </m:r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(and the coupling</w:t>
      </w:r>
      <w:r>
        <w:t xml:space="preserve"> </w:t>
      </w:r>
      <m:oMath>
        <m:acc>
          <m:accPr>
            <m:chr m:val="‾"/>
          </m:accPr>
          <m:e>
            <m:r>
              <m:t>β</m:t>
            </m:r>
          </m:e>
        </m:acc>
        <m:sSub>
          <m:e>
            <m:r>
              <m:t>T</m:t>
            </m:r>
          </m:e>
          <m:sub>
            <m:r>
              <m:t>0</m:t>
            </m:r>
          </m:sub>
        </m:sSub>
        <m:sSub>
          <m:e>
            <m:r>
              <m:t>τ</m:t>
            </m:r>
          </m:e>
          <m:sub>
            <m:r>
              <m:t>0</m:t>
            </m:r>
          </m:sub>
        </m:sSub>
        <m:r>
          <m:t> </m:t>
        </m:r>
        <m:r>
          <m:t>e</m:t>
        </m:r>
      </m:oMath>
      <w:r>
        <w:t xml:space="preserve">) to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,</w:t>
      </w:r>
      <w:r>
        <w:t xml:space="preserve"> </w:t>
      </w:r>
      <m:oMath>
        <m:r>
          <m:t>ρ</m:t>
        </m:r>
        <m:r>
          <m:t>c</m:t>
        </m:r>
      </m:oMath>
      <w:r>
        <w:t xml:space="preserve"> </w:t>
      </w:r>
      <w:r>
        <w:t xml:space="preserve">(and</w:t>
      </w:r>
      <w:r>
        <w:t xml:space="preserve"> </w:t>
      </w:r>
      <m:oMath>
        <m:acc>
          <m:accPr>
            <m:chr m:val="‾"/>
          </m:accPr>
          <m:e>
            <m:r>
              <m:t>β</m:t>
            </m:r>
          </m:e>
        </m:acc>
        <m:sSub>
          <m:e>
            <m:r>
              <m:t>T</m:t>
            </m:r>
          </m:e>
          <m:sub>
            <m:r>
              <m:t>0</m:t>
            </m:r>
          </m:sub>
        </m:sSub>
        <m:r>
          <m:t> </m:t>
        </m:r>
        <m:r>
          <m:t>e</m:t>
        </m:r>
      </m:oMath>
      <w:r>
        <w:t xml:space="preserve">) to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 and the</w:t>
      </w:r>
      <w:r>
        <w:t xml:space="preserve"> </w:t>
      </w:r>
      <w:r>
        <w:t xml:space="preserve">conduction operator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∇</m:t>
        </m:r>
        <m:r>
          <m:t>​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∇</m:t>
        </m:r>
        <m:r>
          <m:t> 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K</m:t>
        </m:r>
      </m:oMath>
      <w:r>
        <w:t xml:space="preserve">.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t>​</m:t>
        </m:r>
        <m:r>
          <m:rPr>
            <m:sty m:val="p"/>
          </m:rPr>
          <m:t>⋅</m:t>
        </m:r>
        <m:r>
          <m:rPr>
            <m:sty m:val="bi"/>
          </m:rPr>
          <m:t>u</m:t>
        </m:r>
      </m:oMath>
      <w:r>
        <w:t xml:space="preserve"> </w:t>
      </w:r>
      <w:r>
        <w:t xml:space="preserve">is the dilatation,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relaxation</w:t>
      </w:r>
      <w:r>
        <w:t xml:space="preserve"> </w:t>
      </w:r>
      <w:r>
        <w:t xml:space="preserve">time,</w:t>
      </w:r>
      <w:r>
        <w:t xml:space="preserve"> </w:t>
      </w:r>
      <m:oMath>
        <m:acc>
          <m:accPr>
            <m:chr m:val="‾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3</m:t>
        </m:r>
        <m:acc>
          <m:accPr>
            <m:chr m:val="‾"/>
          </m:accPr>
          <m:e>
            <m:r>
              <m:t>λ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‾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the thermal modulus of</w:t>
      </w:r>
      <w:r>
        <w:t xml:space="preserve"> </w:t>
      </w:r>
      <w:r>
        <w:t xml:space="preserve">the homogenized material, and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reference temperature. The relaxation</w:t>
      </w:r>
      <w:r>
        <w:t xml:space="preserve"> </w:t>
      </w:r>
      <w:r>
        <w:t xml:space="preserve">term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acc>
          <m:accPr>
            <m:chr m:val="̈"/>
          </m:accPr>
          <m:e>
            <m:r>
              <m:t>θ</m:t>
            </m:r>
          </m:e>
        </m:acc>
      </m:oMath>
      <w:r>
        <w:t xml:space="preserve"> </w:t>
      </w:r>
      <w:r>
        <w:t xml:space="preserve">is exactly what makes the thermal rows carry a mass</w:t>
      </w:r>
      <w:r>
        <w:t xml:space="preserve"> </w:t>
      </w:r>
      <w:r>
        <w:t xml:space="preserve">term and turns the parabolic Fourier system into the hyperbolic (wave-type)</w:t>
      </w:r>
      <w:r>
        <w:t xml:space="preserve"> </w:t>
      </w:r>
      <w:r>
        <w:t xml:space="preserve">Lord-Shulman system. Setting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recovers the classical coupled Fourier</w:t>
      </w:r>
      <w:r>
        <w:t xml:space="preserve"> </w:t>
      </w:r>
      <w:r>
        <w:t xml:space="preserve">model, in which the thermal rows have no mass term.</w:t>
      </w:r>
    </w:p>
    <w:bookmarkEnd w:id="9"/>
    <w:bookmarkStart w:id="12" w:name="a.2-the-newmark-scheme"/>
    <w:p>
      <w:pPr>
        <w:pStyle w:val="Heading2"/>
      </w:pPr>
      <w:r>
        <w:t xml:space="preserve">A.2 The Newmark scheme</w:t>
      </w:r>
    </w:p>
    <w:p>
      <w:pPr>
        <w:pStyle w:val="FirstParagraph"/>
      </w:pPr>
      <w:r>
        <w:t xml:space="preserve">The system is advanced in time with the Newmark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family. Given the state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̇"/>
              </m:accPr>
              <m:e>
                <m:r>
                  <m:rPr>
                    <m:sty m:val="bi"/>
                  </m:rP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̈"/>
              </m:accPr>
              <m:e>
                <m:r>
                  <m:rPr>
                    <m:sty m:val="bi"/>
                  </m:rP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, the state</w:t>
      </w:r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is defined by the two Newmark approximations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r>
            <m:t> </m:t>
          </m:r>
          <m:sSub>
            <m:e>
              <m:acc>
                <m:accPr>
                  <m:chr m:val="̇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̈"/>
                    </m:accPr>
                    <m:e>
                      <m:r>
                        <m:rPr>
                          <m:sty m:val="bi"/>
                        </m:rP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t>β</m:t>
              </m:r>
              <m:r>
                <m:t> </m:t>
              </m:r>
              <m:sSub>
                <m:e>
                  <m:acc>
                    <m:accPr>
                      <m:chr m:val="̈"/>
                    </m:accPr>
                    <m:e>
                      <m:r>
                        <m:rPr>
                          <m:sty m:val="bi"/>
                        </m:rPr>
                        <m:t>x</m:t>
                      </m:r>
                    </m:e>
                  </m:acc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̇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γ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̈"/>
                    </m:accPr>
                    <m:e>
                      <m:r>
                        <m:rPr>
                          <m:sty m:val="bi"/>
                        </m:rP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γ</m:t>
              </m:r>
              <m:r>
                <m:t> </m:t>
              </m:r>
              <m:sSub>
                <m:e>
                  <m:acc>
                    <m:accPr>
                      <m:chr m:val="̈"/>
                    </m:accPr>
                    <m:e>
                      <m:r>
                        <m:rPr>
                          <m:sty m:val="bi"/>
                        </m:rPr>
                        <m:t>x</m:t>
                      </m:r>
                    </m:e>
                  </m:acc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these into the equation of motion at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eliminating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rPr>
                    <m:sty m:val="bi"/>
                  </m:rPr>
                  <m:t>x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̈"/>
              </m:accPr>
              <m:e>
                <m:r>
                  <m:rPr>
                    <m:sty m:val="bi"/>
                  </m:rPr>
                  <m:t>x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gives a single linear</w:t>
      </w:r>
      <w:r>
        <w:t xml:space="preserve"> </w:t>
      </w:r>
      <w:r>
        <w:t xml:space="preserve">system for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rPr>
          <w:i/>
          <w:iCs/>
        </w:rPr>
        <w:t xml:space="preserve">displacement form</w:t>
      </w:r>
      <w:r>
        <w:t xml:space="preserve"> </w:t>
      </w:r>
      <w:r>
        <w:t xml:space="preserve">of the Newmark method):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K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t> 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F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bi"/>
            </m:rPr>
            <m:t>M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acc>
                    <m:accPr>
                      <m:chr m:val="̇"/>
                    </m:accPr>
                    <m:e>
                      <m:r>
                        <m:rPr>
                          <m:sty m:val="bi"/>
                        </m:rP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b>
                <m:e>
                  <m:acc>
                    <m:accPr>
                      <m:chr m:val="̈"/>
                    </m:accPr>
                    <m:e>
                      <m:r>
                        <m:rPr>
                          <m:sty m:val="bi"/>
                        </m:rP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sSub>
                <m:e>
                  <m:acc>
                    <m:accPr>
                      <m:chr m:val="̇"/>
                    </m:accPr>
                    <m:e>
                      <m:r>
                        <m:rPr>
                          <m:sty m:val="bi"/>
                        </m:rP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sSub>
                <m:e>
                  <m:acc>
                    <m:accPr>
                      <m:chr m:val="̈"/>
                    </m:accPr>
                    <m:e>
                      <m:r>
                        <m:rPr>
                          <m:sty m:val="bi"/>
                        </m:rP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effective stiffness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K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K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bi"/>
            </m:rPr>
            <m:t>M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bi"/>
            </m:rP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integration constants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β</m:t>
              </m:r>
              <m:r>
                <m:t> </m:t>
              </m:r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</m:num>
            <m:den>
              <m:r>
                <m:t>β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β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β</m:t>
              </m:r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γ</m:t>
                  </m:r>
                </m:num>
                <m:den>
                  <m:r>
                    <m:t>β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t</m:t>
          </m:r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γ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t</m:t>
          </m:r>
          <m:r>
            <m:t> </m:t>
          </m:r>
          <m:r>
            <m:t>γ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Once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is obtained, the acceleration and velocity are updated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̈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b>
            <m:e>
              <m:acc>
                <m:accPr>
                  <m:chr m:val="̇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sSub>
            <m:e>
              <m:acc>
                <m:accPr>
                  <m:chr m:val="̈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̇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6</m:t>
              </m:r>
            </m:sub>
          </m:sSub>
          <m:r>
            <m:t> </m:t>
          </m:r>
          <m:sSub>
            <m:e>
              <m:acc>
                <m:accPr>
                  <m:chr m:val="̈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7</m:t>
              </m:r>
            </m:sub>
          </m:sSub>
          <m:r>
            <m:t> </m:t>
          </m:r>
          <m:sSub>
            <m:e>
              <m:acc>
                <m:accPr>
                  <m:chr m:val="̈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bookmarkStart w:id="10" w:name="choice-of-parameters"/>
    <w:p>
      <w:pPr>
        <w:pStyle w:val="Heading3"/>
      </w:pPr>
      <w:r>
        <w:t xml:space="preserve">Choice of parameters</w:t>
      </w:r>
    </w:p>
    <w:p>
      <w:pPr>
        <w:pStyle w:val="FirstParagraph"/>
      </w:pPr>
      <w:r>
        <w:t xml:space="preserve">Throughout this thesis the parameters are set to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, which correspond to the constant-average-acceleration</w:t>
      </w:r>
      <w:r>
        <w:t xml:space="preserve"> </w:t>
      </w:r>
      <w:r>
        <w:t xml:space="preserve">(trapezoidal) rule. This choice is: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unconditionally stable</w:t>
      </w:r>
      <w:r>
        <w:t xml:space="preserve"> </w:t>
      </w:r>
      <w:r>
        <w:t xml:space="preserve">for the linear system, so the time step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is limited only by accuracy, not by stability;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second-order accurate</w:t>
      </w:r>
      <w:r>
        <w:t xml:space="preserve"> </w:t>
      </w:r>
      <w:r>
        <w:t xml:space="preserve">in time; and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free of algorithmic (numerical) damping</w:t>
      </w:r>
      <w:r>
        <w:t xml:space="preserve">, because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FirstParagraph"/>
      </w:pPr>
      <w:r>
        <w:t xml:space="preserve">The absence of numerical damping is deliberate: the mild oscillations visible</w:t>
      </w:r>
      <w:r>
        <w:t xml:space="preserve"> </w:t>
      </w:r>
      <w:r>
        <w:t xml:space="preserve">behind the sharp thermal wave fronts in the results of Chapter 4 are the</w:t>
      </w:r>
      <w:r>
        <w:t xml:space="preserve"> </w:t>
      </w:r>
      <w:r>
        <w:t xml:space="preserve">genuine Gibbs oscillations of the spectral (DQM) spatial discretization, and are</w:t>
      </w:r>
      <w:r>
        <w:t xml:space="preserve"> </w:t>
      </w:r>
      <w:r>
        <w:t xml:space="preserve">reported without artificial smoothing so that the physical wave response is not</w:t>
      </w:r>
      <w:r>
        <w:t xml:space="preserve"> </w:t>
      </w:r>
      <w:r>
        <w:t xml:space="preserve">masked. A value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would add numerical dissipation that</w:t>
      </w:r>
      <w:r>
        <w:t xml:space="preserve"> </w:t>
      </w:r>
      <w:r>
        <w:t xml:space="preserve">damps these oscillations but also artificially attenuates the physical thermal</w:t>
      </w:r>
      <w:r>
        <w:t xml:space="preserve"> </w:t>
      </w:r>
      <w:r>
        <w:t xml:space="preserve">wave; it is therefore avoided here. (The symbol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used for the percolation</w:t>
      </w:r>
      <w:r>
        <w:t xml:space="preserve"> </w:t>
      </w:r>
      <w:r>
        <w:t xml:space="preserve">exponent of the conductivity model in Chapter 3 is unrelated to the Newmark</w:t>
      </w:r>
      <w:r>
        <w:t xml:space="preserve"> </w:t>
      </w:r>
      <m:oMath>
        <m:r>
          <m:t>γ</m:t>
        </m:r>
      </m:oMath>
      <w:r>
        <w:t xml:space="preserve">; to avoid confusion the Newmark parameter is written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in the</w:t>
      </w:r>
      <w:r>
        <w:t xml:space="preserve"> </w:t>
      </w:r>
      <w:r>
        <w:t xml:space="preserve">main text and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only within this appendix.)</w:t>
      </w:r>
    </w:p>
    <w:bookmarkEnd w:id="10"/>
    <w:bookmarkStart w:id="11" w:name="computational-remarks"/>
    <w:p>
      <w:pPr>
        <w:pStyle w:val="Heading3"/>
      </w:pPr>
      <w:r>
        <w:t xml:space="preserve">Computational remarks</w:t>
      </w:r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is constant for a fixed time step (the</w:t>
      </w:r>
      <w:r>
        <w:t xml:space="preserve"> </w:t>
      </w:r>
      <w:r>
        <w:t xml:space="preserve">problem is linear), it is factorized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by an LU decomposition before the</w:t>
      </w:r>
      <w:r>
        <w:t xml:space="preserve"> </w:t>
      </w:r>
      <w:r>
        <w:t xml:space="preserve">time loop, and each step reuses the factors in forward/backward substitution;</w:t>
      </w:r>
      <w:r>
        <w:t xml:space="preserve"> </w:t>
      </w:r>
      <w:r>
        <w:t xml:space="preserve">only the right-hand side is rebuilt each step. Before factorization every</w:t>
      </w:r>
      <w:r>
        <w:t xml:space="preserve"> </w:t>
      </w:r>
      <w:r>
        <w:t xml:space="preserve">equation row is</w:t>
      </w:r>
      <w:r>
        <w:t xml:space="preserve"> </w:t>
      </w:r>
      <w:r>
        <w:rPr>
          <w:b/>
          <w:bCs/>
        </w:rPr>
        <w:t xml:space="preserve">equilibrated</w:t>
      </w:r>
      <w:r>
        <w:t xml:space="preserve"> </w:t>
      </w:r>
      <w:r>
        <w:t xml:space="preserve">— divided by its largest coefficient — so that</w:t>
      </w:r>
      <w:r>
        <w:t xml:space="preserve"> </w:t>
      </w:r>
      <w:r>
        <w:t xml:space="preserve">the thermal rows (of magnitude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), the mechanical rows (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) and the constraint rows (</w:t>
      </w:r>
      <m:oMath>
        <m:r>
          <m:rPr>
            <m:sty m:val="p"/>
          </m:rPr>
          <m:t>∼</m:t>
        </m:r>
        <m:r>
          <m:t>1</m:t>
        </m:r>
      </m:oMath>
      <w:r>
        <w:t xml:space="preserve">) attain comparable magnitudes; this</w:t>
      </w:r>
      <w:r>
        <w:t xml:space="preserve"> </w:t>
      </w:r>
      <w:r>
        <w:t xml:space="preserve">row scaling reduces the condition number of</w:t>
      </w:r>
      <w: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by many</w:t>
      </w:r>
      <w:r>
        <w:t xml:space="preserve"> </w:t>
      </w:r>
      <w:r>
        <w:t xml:space="preserve">orders of magnitude and is essential for an accurate solution of the strongly</w:t>
      </w:r>
      <w:r>
        <w:t xml:space="preserve"> </w:t>
      </w:r>
      <w:r>
        <w:t xml:space="preserve">heterogeneous coupled system. The reference solution uses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small</w:t>
      </w:r>
      <w:r>
        <w:t xml:space="preserve"> </w:t>
      </w:r>
      <w:r>
        <w:t xml:space="preserve">enough that the time-discretization error lies below the spatial error floor, as</w:t>
      </w:r>
      <w:r>
        <w:t xml:space="preserve"> </w:t>
      </w:r>
      <w:r>
        <w:t xml:space="preserve">verified by the convergence study of Section 4-3.</w:t>
      </w:r>
    </w:p>
    <w:bookmarkEnd w:id="11"/>
    <w:bookmarkEnd w:id="12"/>
    <w:bookmarkStart w:id="15" w:name="a.3-the-comparison-methods"/>
    <w:p>
      <w:pPr>
        <w:pStyle w:val="Heading2"/>
      </w:pPr>
      <w:r>
        <w:t xml:space="preserve">A.3 The comparison methods</w:t>
      </w:r>
    </w:p>
    <w:p>
      <w:pPr>
        <w:pStyle w:val="FirstParagraph"/>
      </w:pPr>
      <w:r>
        <w:t xml:space="preserve">To position the Newmark scheme and the DQM spatial discretization, several</w:t>
      </w:r>
      <w:r>
        <w:t xml:space="preserve"> </w:t>
      </w:r>
      <w:r>
        <w:t xml:space="preserve">alternative methods were implemented on identical benchmark problems; their</w:t>
      </w:r>
      <w:r>
        <w:t xml:space="preserve"> </w:t>
      </w:r>
      <w:r>
        <w:t xml:space="preserve">results are reported in Chapter 4 and summarized here.</w:t>
      </w:r>
    </w:p>
    <w:bookmarkStart w:id="13" w:name="X60a5485a02c2e545176681563f5ce83e29afadb"/>
    <w:p>
      <w:pPr>
        <w:pStyle w:val="Heading3"/>
      </w:pPr>
      <w:r>
        <w:t xml:space="preserve">A.3.1 Alternative time integrators (Section 4-18, Table 4-3)</w:t>
      </w:r>
    </w:p>
    <w:p>
      <w:pPr>
        <w:pStyle w:val="FirstParagraph"/>
      </w:pPr>
      <w:r>
        <w:t xml:space="preserve">Five alternative time integrators were run on the same spatial system and the</w:t>
      </w:r>
      <w:r>
        <w:t xml:space="preserve"> </w:t>
      </w:r>
      <w:r>
        <w:t xml:space="preserve">same transient-conduction benchmark (with a known exact solution):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Wilson-</w:t>
      </w:r>
      <m:oMath>
        <m:r>
          <m:t>θ</m:t>
        </m:r>
      </m:oMath>
      <w:r>
        <w:t xml:space="preserve"> </w:t>
      </w:r>
      <w:r>
        <w:t xml:space="preserve">(</w:t>
      </w:r>
      <m:oMath>
        <m:r>
          <m:t>θ</m:t>
        </m:r>
        <m:r>
          <m:rPr>
            <m:sty m:val="p"/>
          </m:rPr>
          <m:t>=</m:t>
        </m:r>
        <m:r>
          <m:t>1.4</m:t>
        </m:r>
      </m:oMath>
      <w:r>
        <w:t xml:space="preserve">): an implicit scheme that evaluates the</w:t>
      </w:r>
      <w:r>
        <w:t xml:space="preserve"> </w:t>
      </w:r>
      <w:r>
        <w:t xml:space="preserve">equilibrium at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θ</m:t>
        </m:r>
        <m:r>
          <m:rPr>
            <m:sty m:val="p"/>
          </m:rPr>
          <m:t>Δ</m:t>
        </m:r>
        <m:r>
          <m:t>t</m:t>
        </m:r>
      </m:oMath>
      <w:r>
        <w:t xml:space="preserve">; unconditionally stable but with extra</w:t>
      </w:r>
      <w:r>
        <w:t xml:space="preserve"> </w:t>
      </w:r>
      <w:r>
        <w:t xml:space="preserve">numerical dissipation, giving a roughly fivefold larger error than Newmark at</w:t>
      </w:r>
      <w:r>
        <w:t xml:space="preserve"> </w:t>
      </w:r>
      <w:r>
        <w:t xml:space="preserve">equal step.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Houbolt</w:t>
      </w:r>
      <w:r>
        <w:t xml:space="preserve">: a backward multi-step scheme built from a cubic backward</w:t>
      </w:r>
      <w:r>
        <w:t xml:space="preserve"> </w:t>
      </w:r>
      <w:r>
        <w:t xml:space="preserve">difference; comparable accuracy to Newmark but with strong high-frequency</w:t>
      </w:r>
      <w:r>
        <w:t xml:space="preserve"> </w:t>
      </w:r>
      <w:r>
        <w:t xml:space="preserve">damping.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HHT-</w:t>
      </w:r>
      <m:oMath>
        <m:r>
          <m:t>α</m:t>
        </m:r>
      </m:oMath>
      <w:r>
        <w:t xml:space="preserve"> </w:t>
      </w:r>
      <w:r>
        <w:t xml:space="preserve">(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): the Hilber-Hughes-Taylor generalization of</w:t>
      </w:r>
      <w:r>
        <w:t xml:space="preserve"> </w:t>
      </w:r>
      <w:r>
        <w:t xml:space="preserve">Newmark that introduces controlled high-frequency damping while retaining</w:t>
      </w:r>
      <w:r>
        <w:t xml:space="preserve"> </w:t>
      </w:r>
      <w:r>
        <w:t xml:space="preserve">second-order accuracy; practically as accurate as Newmark here.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ode15s</w:t>
      </w:r>
      <w:r>
        <w:t xml:space="preserve">: MATLAB’s adaptive, variable-order stiff (BDF) solver, used as an</w:t>
      </w:r>
      <w:r>
        <w:t xml:space="preserve"> </w:t>
      </w:r>
      <w:r>
        <w:t xml:space="preserve">independent reference; about ten times more accurate but about eight times more</w:t>
      </w:r>
      <w:r>
        <w:t xml:space="preserve"> </w:t>
      </w:r>
      <w:r>
        <w:t xml:space="preserve">expensive than Newmark.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Laplace-Durbin</w:t>
      </w:r>
      <w:r>
        <w:t xml:space="preserve">: a Laplace-transform-in-time method with Durbin’s numerical</w:t>
      </w:r>
      <w:r>
        <w:t xml:space="preserve"> </w:t>
      </w:r>
      <w:r>
        <w:t xml:space="preserve">inversion, applicable only to the</w:t>
      </w:r>
      <w:r>
        <w:t xml:space="preserve"> </w:t>
      </w:r>
      <w:r>
        <w:rPr>
          <w:b/>
          <w:bCs/>
        </w:rPr>
        <w:t xml:space="preserve">thermal subsystem</w:t>
      </w:r>
      <w:r>
        <w:t xml:space="preserve">. It is three orders of</w:t>
      </w:r>
      <w:r>
        <w:t xml:space="preserve"> </w:t>
      </w:r>
      <w:r>
        <w:t xml:space="preserve">magnitude slower and, importantly,</w:t>
      </w:r>
      <w:r>
        <w:t xml:space="preserve"> </w:t>
      </w:r>
      <w:r>
        <w:rPr>
          <w:b/>
          <w:bCs/>
        </w:rPr>
        <w:t xml:space="preserve">cannot be applied to the full coupled</w:t>
      </w:r>
      <w:r>
        <w:rPr>
          <w:b/>
          <w:bCs/>
        </w:rPr>
        <w:t xml:space="preserve"> </w:t>
      </w:r>
      <w:r>
        <w:rPr>
          <w:b/>
          <w:bCs/>
        </w:rPr>
        <w:t xml:space="preserve">system</w:t>
      </w:r>
      <w:r>
        <w:t xml:space="preserve">, because the undamped elastic poles of the coupled operator lie</w:t>
      </w:r>
      <w:r>
        <w:t xml:space="preserve"> </w:t>
      </w:r>
      <w:r>
        <w:t xml:space="preserve">exactly on the Bromwich inversion contour — which is precisely why transform</w:t>
      </w:r>
      <w:r>
        <w:t xml:space="preserve"> </w:t>
      </w:r>
      <w:r>
        <w:t xml:space="preserve">methods appear in the literature only for uncoupled thermal problems.</w:t>
      </w:r>
    </w:p>
    <w:p>
      <w:pPr>
        <w:pStyle w:val="FirstParagraph"/>
      </w:pPr>
      <w:r>
        <w:t xml:space="preserve">Newmark, Houbolt and HHT-</w:t>
      </w:r>
      <m:oMath>
        <m:r>
          <m:t>α</m:t>
        </m:r>
      </m:oMath>
      <w:r>
        <w:t xml:space="preserve"> </w:t>
      </w:r>
      <w:r>
        <w:t xml:space="preserve">are practically equally accurate at equal step;</w:t>
      </w:r>
      <w:r>
        <w:t xml:space="preserve"> </w:t>
      </w:r>
      <w:r>
        <w:t xml:space="preserve">Newmark offers the best overall accuracy-to-cost ratio and was therefore adopted</w:t>
      </w:r>
      <w:r>
        <w:t xml:space="preserve"> </w:t>
      </w:r>
      <w:r>
        <w:t xml:space="preserve">for all production runs.</w:t>
      </w:r>
    </w:p>
    <w:bookmarkEnd w:id="13"/>
    <w:bookmarkStart w:id="14" w:name="Xfe5ae71e0ff8b7468b426bd47d20980587eb5a8"/>
    <w:p>
      <w:pPr>
        <w:pStyle w:val="Heading3"/>
      </w:pPr>
      <w:r>
        <w:t xml:space="preserve">A.3.2 Alternative spatial discretizations (Section 4-19, Figure 4-2)</w:t>
      </w:r>
    </w:p>
    <w:p>
      <w:pPr>
        <w:pStyle w:val="FirstParagraph"/>
      </w:pPr>
      <w:r>
        <w:t xml:space="preserve">Four spatial discretizations were compared on the transient-conduction benchmark</w:t>
      </w:r>
      <w:r>
        <w:t xml:space="preserve"> </w:t>
      </w:r>
      <w:r>
        <w:t xml:space="preserve">with the same Newmark time march: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Layerwise differential quadrature (DQM)</w:t>
      </w:r>
      <w:r>
        <w:t xml:space="preserve"> </w:t>
      </w:r>
      <w:r>
        <w:t xml:space="preserve">with Chebyshev-Gauss-Lobatto and</w:t>
      </w:r>
      <w:r>
        <w:t xml:space="preserve"> </w:t>
      </w:r>
      <w:r>
        <w:t xml:space="preserve">with uniform grids: the temperature/displacement derivatives at each node are</w:t>
      </w:r>
      <w:r>
        <w:t xml:space="preserve"> </w:t>
      </w:r>
      <w:r>
        <w:t xml:space="preserve">written as weighted sums of all nodal values along a line, giving a spectral</w:t>
      </w:r>
      <w:r>
        <w:t xml:space="preserve"> </w:t>
      </w:r>
      <w:r>
        <w:t xml:space="preserve">(quasi-exponential) convergence rate.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Second-order finite differences (FDM)</w:t>
      </w:r>
      <w:r>
        <w:t xml:space="preserve">: standard central differences.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Finite elements (FEM)</w:t>
      </w:r>
      <w:r>
        <w:t xml:space="preserve">, Galerkin formulation with consistent capacitance</w:t>
      </w:r>
      <w:r>
        <w:t xml:space="preserve"> </w:t>
      </w:r>
      <w:r>
        <w:t xml:space="preserve">and conductance matrices, using</w:t>
      </w:r>
      <w:r>
        <w:t xml:space="preserve"> </w:t>
      </w:r>
      <w:r>
        <w:rPr>
          <w:b/>
          <w:bCs/>
        </w:rPr>
        <w:t xml:space="preserve">linear (2-node)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quadratic (3-node)</w:t>
      </w:r>
      <w:r>
        <w:t xml:space="preserve"> </w:t>
      </w:r>
      <w:r>
        <w:t xml:space="preserve">Lagrange elements. Because the transient-conduction operator is self-adjoint</w:t>
      </w:r>
      <w:r>
        <w:t xml:space="preserve"> </w:t>
      </w:r>
      <w:r>
        <w:t xml:space="preserve">(no convection), the standard Bubnov-Galerkin method (test = trial functions)</w:t>
      </w:r>
      <w:r>
        <w:t xml:space="preserve"> </w:t>
      </w:r>
      <w:r>
        <w:t xml:space="preserve">is optimal and Petrov-Galerkin weighting is not needed.</w:t>
      </w:r>
    </w:p>
    <w:p>
      <w:pPr>
        <w:pStyle w:val="FirstParagraph"/>
      </w:pPr>
      <w:r>
        <w:t xml:space="preserve">The number of radial points required to reach the time-step error floor is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9</m:t>
        </m:r>
        <m:r>
          <m:rPr>
            <m:nor/>
            <m:sty m:val="p"/>
          </m:rPr>
          <m:t>-</m:t>
        </m:r>
        <m:r>
          <m:t>11</m:t>
        </m:r>
      </m:oMath>
      <w:r>
        <w:t xml:space="preserve"> </w:t>
      </w:r>
      <w:r>
        <w:t xml:space="preserve">for DQM,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21</m:t>
        </m:r>
      </m:oMath>
      <w:r>
        <w:t xml:space="preserve"> </w:t>
      </w:r>
      <w:r>
        <w:t xml:space="preserve">for quadratic FEM, and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161</m:t>
        </m:r>
      </m:oMath>
      <w:r>
        <w:t xml:space="preserve"> </w:t>
      </w:r>
      <w:r>
        <w:t xml:space="preserve">for linear FEM and second-order FDM. At equal accuracy the DQM</w:t>
      </w:r>
      <w:r>
        <w:t xml:space="preserve"> </w:t>
      </w:r>
      <w:r>
        <w:t xml:space="preserve">equation system is therefore about fifteen times smaller per direction — squared</w:t>
      </w:r>
      <w:r>
        <w:t xml:space="preserve"> </w:t>
      </w:r>
      <w:r>
        <w:t xml:space="preserve">in 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plane — which is the quantitative justification for the layerwise</w:t>
      </w:r>
      <w:r>
        <w:t xml:space="preserve"> </w:t>
      </w:r>
      <w:r>
        <w:t xml:space="preserve">differential-quadrature choice adopted throughout this thesis.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2026-07-27T23:34:38Z</dcterms:created>
  <dcterms:modified xsi:type="dcterms:W3CDTF">2026-07-27T23:34:38Z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