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62.png" ContentType="image/png"/>
  <Override PartName="/word/media/rId51.png" ContentType="image/png"/>
  <Override PartName="/word/media/rId48.png" ContentType="image/png"/>
  <Override PartName="/word/media/rId44.png" ContentType="image/png"/>
  <Override PartName="/word/media/rId66.png" ContentType="image/png"/>
  <Override PartName="/word/media/rId70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55.png" ContentType="image/png"/>
  <Override PartName="/word/media/rId58.png" ContentType="image/png"/>
  <Override PartName="/word/media/rId74.png" ContentType="image/png"/>
  <Override PartName="/word/media/rId103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81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6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every discretization direction of the model — the</w:t>
      </w:r>
      <w:r>
        <w:t xml:space="preserve"> </w:t>
      </w:r>
      <w:r>
        <w:t xml:space="preserve">number of radial points per layer N_r, the number of axial points N_z, the</w:t>
      </w:r>
      <w:r>
        <w:t xml:space="preserve"> </w:t>
      </w:r>
      <w:r>
        <w:t xml:space="preserve">number of layers N_L, and the time step Δt — so that any later discrepancy with</w:t>
      </w:r>
      <w:r>
        <w:t xml:space="preserve"> </w:t>
      </w:r>
      <w:r>
        <w:t xml:space="preserve">a reference can be attributed to physics rather than residual numerical error.</w:t>
      </w:r>
      <w:r>
        <w:t xml:space="preserve"> </w:t>
      </w:r>
      <w:r>
        <w:t xml:space="preserve">The convergence measure is the dimensionless hoop stress, reported both as the</w:t>
      </w:r>
      <w:r>
        <w:t xml:space="preserve"> </w:t>
      </w:r>
      <w:r>
        <w:t xml:space="preserve">inner-surface value and as the relative L₂ error of the whole mid-plane radial</w:t>
      </w:r>
      <w:r>
        <w:t xml:space="preserve"> </w:t>
      </w:r>
      <w:r>
        <w:t xml:space="preserve">profile against the finest mesh.</w:t>
      </w:r>
    </w:p>
    <w:p>
      <w:pPr>
        <w:pStyle w:val="CaptionedFigure"/>
      </w:pPr>
      <w:r>
        <w:drawing>
          <wp:inline>
            <wp:extent cx="5334000" cy="4002024"/>
            <wp:effectExtent b="0" l="0" r="0" t="0"/>
            <wp:docPr descr="Layer-count convergence: hoop-stress and temperature profiles, L2 error and cost vs number of layers N_L (N_r=15, N_z=11)." title="" id="12" name="Picture"/>
            <a:graphic>
              <a:graphicData uri="http://schemas.openxmlformats.org/drawingml/2006/picture">
                <pic:pic>
                  <pic:nvPicPr>
                    <pic:cNvPr descr="figures_ch4_bw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Layer-count convergence: hoop-stress and temperature profiles, L2 error and cost vs number of layers N_L (N_r=15, N_z=11).</w:t>
      </w:r>
    </w:p>
    <w:p>
      <w:pPr>
        <w:pStyle w:val="BodyText"/>
      </w:pPr>
      <w:r>
        <w:t xml:space="preserve">Layer convergence is shown in Figure 4-1(NL). As the number of layers is</w:t>
      </w:r>
      <w:r>
        <w:t xml:space="preserve"> </w:t>
      </w:r>
      <w:r>
        <w:t xml:space="preserve">increased through 3, 5, 7, 9 and 15, the dimensionless inner-surface hoop stress</w:t>
      </w:r>
      <w:r>
        <w:t xml:space="preserve"> </w:t>
      </w:r>
      <w:r>
        <w:t xml:space="preserve">takes the values 1.5261, 1.5257, 1.5264, 1.5264 and 1.5265, a total variation</w:t>
      </w:r>
      <w:r>
        <w:t xml:space="preserve"> </w:t>
      </w:r>
      <w:r>
        <w:t xml:space="preserve">below 0.05 %, and the L₂ profile error relative to fifteen layers falls below</w:t>
      </w:r>
      <w:r>
        <w:t xml:space="preserve"> </w:t>
      </w:r>
      <w:r>
        <w:t xml:space="preserve">0.26 %. The field quantities are therefore essentially layer-independent from as</w:t>
      </w:r>
      <w:r>
        <w:t xml:space="preserve"> </w:t>
      </w:r>
      <w:r>
        <w:t xml:space="preserve">few as three layers; the main effect of a larger layer count is only a</w:t>
      </w:r>
      <w:r>
        <w:t xml:space="preserve"> </w:t>
      </w:r>
      <w:r>
        <w:t xml:space="preserve">refinement of the staircase pattern of the hoop-stress profile at the layer</w:t>
      </w:r>
      <w:r>
        <w:t xml:space="preserve"> </w:t>
      </w:r>
      <w:r>
        <w:t xml:space="preserve">interfaces, which is the natural signature of the layerwise property model.</w:t>
      </w:r>
      <w:r>
        <w:t xml:space="preserve"> </w:t>
      </w:r>
      <w:r>
        <w:t xml:space="preserve">Seven layers are adopted in what follows, matching the seven-layer graded</w:t>
      </w:r>
      <w:r>
        <w:t xml:space="preserve"> </w:t>
      </w:r>
      <w:r>
        <w:t xml:space="preserve">build of the reference cylinder while remaining safely on the converged side.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Radial-node convergence per layer (N_z=11, N_L=7); the field quantities are converged from N_r=7." title="" id="15" name="Picture"/>
            <a:graphic>
              <a:graphicData uri="http://schemas.openxmlformats.org/drawingml/2006/picture">
                <pic:pic>
                  <pic:nvPicPr>
                    <pic:cNvPr descr="figures_ch4_bw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Radial-node convergence per layer (N_z=11, N_L=7); the field quantities are converged from N_r=7.</w:t>
      </w:r>
    </w:p>
    <w:p>
      <w:pPr>
        <w:pStyle w:val="BodyText"/>
      </w:pPr>
      <w:r>
        <w:t xml:space="preserve">Radial convergence within each layer is shown in Figure 4-1(Nr). Increasing the</w:t>
      </w:r>
      <w:r>
        <w:t xml:space="preserve"> </w:t>
      </w:r>
      <w:r>
        <w:t xml:space="preserve">number of radial points per layer through 7, 9, 11, 13 and 15 leaves the</w:t>
      </w:r>
      <w:r>
        <w:t xml:space="preserve"> </w:t>
      </w:r>
      <w:r>
        <w:t xml:space="preserve">inner-surface hoop stress within 0.09 % (1.5251 to 1.5264) and the L₂ profile</w:t>
      </w:r>
      <w:r>
        <w:t xml:space="preserve"> </w:t>
      </w:r>
      <w:r>
        <w:t xml:space="preserve">error below 0.29 % throughout; every mesh from seven points upward is thus</w:t>
      </w:r>
      <w:r>
        <w:t xml:space="preserve"> </w:t>
      </w:r>
      <w:r>
        <w:t xml:space="preserve">converged in the field quantities. This is the hallmark of the spectral</w:t>
      </w:r>
      <w:r>
        <w:t xml:space="preserve"> </w:t>
      </w:r>
      <w:r>
        <w:t xml:space="preserve">(Chebyshev) differential quadrature discretization: three-digit accuracy is</w:t>
      </w:r>
      <w:r>
        <w:t xml:space="preserve"> </w:t>
      </w:r>
      <w:r>
        <w:t xml:space="preserve">reached with a handful of points. The value N_r = 15 is nevertheless adopted for</w:t>
      </w:r>
      <w:r>
        <w:t xml:space="preserve"> </w:t>
      </w:r>
      <w:r>
        <w:t xml:space="preserve">the production runs, because — while it does not change any integral quantity —</w:t>
      </w:r>
      <w:r>
        <w:t xml:space="preserve"> </w:t>
      </w:r>
      <w:r>
        <w:t xml:space="preserve">it renders the sharp, moving second-sound front in the temperature profiles</w:t>
      </w:r>
      <w:r>
        <w:t xml:space="preserve"> </w:t>
      </w:r>
      <w:r>
        <w:t xml:space="preserve">cleanly, without the localized oscillation that a coarser radial mesh leaves at</w:t>
      </w:r>
      <w:r>
        <w:t xml:space="preserve"> </w:t>
      </w:r>
      <w:r>
        <w:t xml:space="preserve">the instant the front sits between two nodes.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Axial-node convergence, the binding direction (N_r=15, N_L=7); N_z=5 gives a 9.4% error, with the clean serial cost." title="" id="18" name="Picture"/>
            <a:graphic>
              <a:graphicData uri="http://schemas.openxmlformats.org/drawingml/2006/picture">
                <pic:pic>
                  <pic:nvPicPr>
                    <pic:cNvPr descr="figures_ch4_bw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Axial-node convergence, the binding direction (N_r=15, N_L=7); N_z=5 gives a 9.4% error, with the clean serial cost.</w:t>
      </w:r>
    </w:p>
    <w:p>
      <w:pPr>
        <w:pStyle w:val="BodyText"/>
      </w:pPr>
      <w:r>
        <w:t xml:space="preserve">The axial direction, shown in Figure 4-1(Nz), is the one that actually governs</w:t>
      </w:r>
      <w:r>
        <w:t xml:space="preserve"> </w:t>
      </w:r>
      <w:r>
        <w:t xml:space="preserve">the mesh. With only five axial points the inner-surface hoop stress is in error</w:t>
      </w:r>
      <w:r>
        <w:t xml:space="preserve"> </w:t>
      </w:r>
      <w:r>
        <w:t xml:space="preserve">by 9.4 % (1.3844 against the converged 1.5278), because the simply-supported</w:t>
      </w:r>
      <w:r>
        <w:t xml:space="preserve"> </w:t>
      </w:r>
      <w:r>
        <w:t xml:space="preserve">end layer is left unresolved; the error then falls to 0.36 %, 1.0 %, 0.09 % and</w:t>
      </w:r>
      <w:r>
        <w:t xml:space="preserve"> </w:t>
      </w:r>
      <w:r>
        <w:t xml:space="preserve">0.02 % for seven, nine, eleven and thirteen points. The convergence is</w:t>
      </w:r>
      <w:r>
        <w:t xml:space="preserve"> </w:t>
      </w:r>
      <w:r>
        <w:t xml:space="preserve">non-monotonic — the oscillatory envelope characteristic of spectral methods —</w:t>
      </w:r>
      <w:r>
        <w:t xml:space="preserve"> </w:t>
      </w:r>
      <w:r>
        <w:t xml:space="preserve">but is clearly settled by nine points, and eleven points give an L₂ profile</w:t>
      </w:r>
      <w:r>
        <w:t xml:space="preserve"> </w:t>
      </w:r>
      <w:r>
        <w:t xml:space="preserve">error of 0.16 %. Eleven axial points are adopted. Unlike the radial direction,</w:t>
      </w:r>
      <w:r>
        <w:t xml:space="preserve"> </w:t>
      </w:r>
      <w:r>
        <w:t xml:space="preserve">the axial one is also the most expensive: measured on a single core, one solve</w:t>
      </w:r>
      <w:r>
        <w:t xml:space="preserve"> </w:t>
      </w:r>
      <w:r>
        <w:t xml:space="preserve">costs 90, 198, 349, 987 and 1630 s for five, seven, nine, thirteen and fifteen</w:t>
      </w:r>
      <w:r>
        <w:t xml:space="preserve"> </w:t>
      </w:r>
      <w:r>
        <w:t xml:space="preserve">axial points, i.e. the cost grows roughly as N_z^2.6, because each added axial</w:t>
      </w:r>
      <w:r>
        <w:t xml:space="preserve"> </w:t>
      </w:r>
      <w:r>
        <w:t xml:space="preserve">point multiplies the entire through-thickness system.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Time-step convergence; steps up to 2 s are converged while 5 s produces a spurious overshoot." title="" id="21" name="Picture"/>
            <a:graphic>
              <a:graphicData uri="http://schemas.openxmlformats.org/drawingml/2006/picture">
                <pic:pic>
                  <pic:nvPicPr>
                    <pic:cNvPr descr="figures_ch4_bw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Time-step convergence; steps up to 2 s are converged while 5 s produces a spurious overshoot.</w:t>
      </w:r>
    </w:p>
    <w:p>
      <w:pPr>
        <w:pStyle w:val="BodyText"/>
      </w:pPr>
      <w:r>
        <w:t xml:space="preserve">Time-step convergence is shown in Figure 4-1(dt). For time steps of 0.5, 1 and</w:t>
      </w:r>
      <w:r>
        <w:t xml:space="preserve"> </w:t>
      </w:r>
      <w:r>
        <w:t xml:space="preserve">2 s the response is unchanged, but at Δt = 5 s a spurious 3 % overshoot appears</w:t>
      </w:r>
      <w:r>
        <w:t xml:space="preserve"> </w:t>
      </w:r>
      <w:r>
        <w:t xml:space="preserve">in the peak temperature as the integrator under-resolves the sharp thermal</w:t>
      </w:r>
      <w:r>
        <w:t xml:space="preserve"> </w:t>
      </w:r>
      <w:r>
        <w:t xml:space="preserve">front; the L₂ error of the final hoop-stress profile relative to Δt = 0.5 s is</w:t>
      </w:r>
      <w:r>
        <w:t xml:space="preserve"> </w:t>
      </w:r>
      <w:r>
        <w:t xml:space="preserve">0.17 %, 0.25 % and 0.64 % for 1, 2 and 5 s. A time step of 1 s is adopted, which</w:t>
      </w:r>
      <w:r>
        <w:t xml:space="preserve"> </w:t>
      </w:r>
      <w:r>
        <w:t xml:space="preserve">both resolves the shock and leaves a comfortable margin.</w:t>
      </w:r>
    </w:p>
    <w:p>
      <w:pPr>
        <w:pStyle w:val="CaptionedFigure"/>
      </w:pPr>
      <w:r>
        <w:drawing>
          <wp:inline>
            <wp:extent cx="5334000" cy="4036178"/>
            <wp:effectExtent b="0" l="0" r="0" t="0"/>
            <wp:docPr descr="L2 hoop-profile error versus problem size N_dof, refined one direction at a time; the axial direction is binding." title="" id="24" name="Picture"/>
            <a:graphic>
              <a:graphicData uri="http://schemas.openxmlformats.org/drawingml/2006/picture">
                <pic:pic>
                  <pic:nvPicPr>
                    <pic:cNvPr descr="figures_ch4_bw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L2 hoop-profile error versus problem size N_dof, refined one direction at a time; the axial direction is binding.</w:t>
      </w:r>
    </w:p>
    <w:p>
      <w:pPr>
        <w:pStyle w:val="BodyText"/>
      </w:pPr>
      <w:r>
        <w:t xml:space="preserve">Figure 4-1(master) collects the four studies as the L₂ profile error against the</w:t>
      </w:r>
      <w:r>
        <w:t xml:space="preserve"> </w:t>
      </w:r>
      <w:r>
        <w:t xml:space="preserve">total number of unknowns N_dof = 3 N_L N_r N_z, refined one direction at a time.</w:t>
      </w:r>
      <w:r>
        <w:t xml:space="preserve"> </w:t>
      </w:r>
      <w:r>
        <w:t xml:space="preserve">The picture summarizes the numerical character of the model: the radial and</w:t>
      </w:r>
      <w:r>
        <w:t xml:space="preserve"> </w:t>
      </w:r>
      <w:r>
        <w:t xml:space="preserve">layer directions sit below 0.3 % from their smallest meshes and are effectively</w:t>
      </w:r>
      <w:r>
        <w:t xml:space="preserve"> </w:t>
      </w:r>
      <w:r>
        <w:t xml:space="preserve">free, whereas the axial direction both starts far above 1 % and is the steepest</w:t>
      </w:r>
      <w:r>
        <w:t xml:space="preserve"> </w:t>
      </w:r>
      <w:r>
        <w:t xml:space="preserve">in cost. The adopted production mesh (N_r = 15, N_z = 11, N_L = 7, Δt = 1 s) is</w:t>
      </w:r>
      <w:r>
        <w:t xml:space="preserve"> </w:t>
      </w:r>
      <w:r>
        <w:t xml:space="preserve">accordingly balanced — generous where refinement is cheap and merely adequate</w:t>
      </w:r>
      <w:r>
        <w:t xml:space="preserve"> </w:t>
      </w:r>
      <w:r>
        <w:t xml:space="preserve">where it is expensive — and delivers the field quantities to better than 0.2 %.</w:t>
      </w:r>
      <w:r>
        <w:t xml:space="preserve"> </w:t>
      </w:r>
      <w:r>
        <w:t xml:space="preserve">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</w:t>
      </w:r>
      <w:r>
        <w:t xml:space="preserve"> </w:t>
      </w:r>
      <w:r>
        <w:t xml:space="preserve">taken up separately as an extension study in Section 4-19.</w:t>
      </w:r>
    </w:p>
    <w:bookmarkEnd w:id="26"/>
    <w:bookmarkStart w:id="36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4-2.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CaptionedFigure"/>
      </w:pPr>
      <w:r>
        <w:drawing>
          <wp:inline>
            <wp:extent cx="5334000" cy="3810348"/>
            <wp:effectExtent b="0" l="0" r="0" t="0"/>
            <wp:docPr descr="Verification (mechanical): dimensionless inner-surface radial displacement of the present solver against Malekzadeh &amp; Heydarpour (2012) and an independent ANSYS solution." title="" id="28" name="Picture"/>
            <a:graphic>
              <a:graphicData uri="http://schemas.openxmlformats.org/drawingml/2006/picture">
                <pic:pic>
                  <pic:nvPicPr>
                    <pic:cNvPr descr="figures_ch4_bw/bench1_U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(mechanical): dimensionless inner-surface radial displacement of the present solver against Malekzadeh &amp; Heydarpour (2012) and an independent ANSYS solution.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Verification (thermal): transient temperature profiles from the present DQM+Newmark solver against the exact Bessel-series solution at t = 2, 10 and 40 s." title="" id="31" name="Picture"/>
            <a:graphic>
              <a:graphicData uri="http://schemas.openxmlformats.org/drawingml/2006/picture">
                <pic:pic>
                  <pic:nvPicPr>
                    <pic:cNvPr descr="figures_ch4_bw/bench2_T_profil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(thermal): transient temperature profiles from the present DQM+Newmark solver against the exact Bessel-series solution at t = 2, 10 and 40 s.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Verification (Lord-Shulman waves): second-sound temperature fronts through the wall against Bagri &amp; Eslami (2007), Fig. 2." title="" id="34" name="Picture"/>
            <a:graphic>
              <a:graphicData uri="http://schemas.openxmlformats.org/drawingml/2006/picture">
                <pic:pic>
                  <pic:nvPicPr>
                    <pic:cNvPr descr="figures_ch4_bw/bench3_the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(Lord-Shulman waves): second-sound temperature fronts through the wall against Bagri &amp; Eslami (2007), Fig. 2.</w:t>
      </w:r>
    </w:p>
    <w:p>
      <w:pPr>
        <w:pStyle w:val="BodyText"/>
      </w:pPr>
      <w:r>
        <w:rPr>
          <w:b/>
          <w:bCs/>
        </w:rPr>
        <w:t xml:space="preserve">Table 4-2: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6"/>
    <w:bookmarkStart w:id="40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4-2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 GPL distribution pattern (UD, O, X, V, A): mid-point T* and U* histories vs Fo and the final T*, hoop-stress profiles vs xi." title="" id="38" name="Picture"/>
            <a:graphic>
              <a:graphicData uri="http://schemas.openxmlformats.org/drawingml/2006/picture">
                <pic:pic>
                  <pic:nvPicPr>
                    <pic:cNvPr descr="figures_ch4_bw/A_GPL_patte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distribution pattern (UD, O, X, V, A): mid-point T* and U* histories vs Fo and the final T*, hoop-stress profiles vs xi.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bookmarkEnd w:id="40"/>
    <w:bookmarkStart w:id="47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4-3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distribution pattern (UD, O, X, V, A), GPL kept uniform; pattern A acts as a thermal barrier." title="" id="42" name="Picture"/>
            <a:graphic>
              <a:graphicData uri="http://schemas.openxmlformats.org/drawingml/2006/picture">
                <pic:pic>
                  <pic:nvPicPr>
                    <pic:cNvPr descr="figures_ch4_bw/B_porosity_patte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distribution pattern (UD, O, X, V, A), GPL kept uniform; pattern A acts as a thermal barrier.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level e_m3 = 0.9675 / 0.8604 / 0.7776 (light / moderate / heavy)." title="" id="45" name="Picture"/>
            <a:graphic>
              <a:graphicData uri="http://schemas.openxmlformats.org/drawingml/2006/picture">
                <pic:pic>
                  <pic:nvPicPr>
                    <pic:cNvPr descr="figures_ch4_bw/E_porosity_lev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level e_m3 = 0.9675 / 0.8604 / 0.7776 (light / moderate / heavy).</w:t>
      </w:r>
    </w:p>
    <w:p>
      <w:pPr>
        <w:pStyle w:val="BodyText"/>
      </w:pPr>
      <w:r>
        <w:t xml:space="preserve">Finally, the effect of the overall porosity level is shown in Figure 4-4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7"/>
    <w:bookmarkStart w:id="54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low range W = 0.1 / 0.3 / 0.5 / 0.9 / 1.5 %." title="" id="49" name="Picture"/>
            <a:graphic>
              <a:graphicData uri="http://schemas.openxmlformats.org/drawingml/2006/picture">
                <pic:pic>
                  <pic:nvPicPr>
                    <pic:cNvPr descr="figures_ch4_bw/D_wt_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low range W = 0.1 / 0.3 / 0.5 / 0.9 / 1.5 %.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4-5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high range W = 1 / 2 / 4 / 8 %; the thermal gain saturates while the stresses grow." title="" id="52" name="Picture"/>
            <a:graphic>
              <a:graphicData uri="http://schemas.openxmlformats.org/drawingml/2006/picture">
                <pic:pic>
                  <pic:nvPicPr>
                    <pic:cNvPr descr="figures_ch4_bw/D2_wt_hig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high range W = 1 / 2 / 4 / 8 %; the thermal gain saturates while the stresses grow.</w:t>
      </w:r>
    </w:p>
    <w:p>
      <w:pPr>
        <w:pStyle w:val="BodyText"/>
      </w:pPr>
      <w:r>
        <w:t xml:space="preserve">The higher range W = 1, 2, 4 and 8 % is shown in Figure 4-6.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4"/>
    <w:bookmarkStart w:id="61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length-to-width aspect ratio a/b = 1.0 / 1.67 / 2.67." title="" id="56" name="Picture"/>
            <a:graphic>
              <a:graphicData uri="http://schemas.openxmlformats.org/drawingml/2006/picture">
                <pic:pic>
                  <pic:nvPicPr>
                    <pic:cNvPr descr="figures_ch4_bw/O_aspect_ab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length-to-width aspect ratio a/b = 1.0 / 1.67 / 2.67.</w:t>
      </w:r>
    </w:p>
    <w:p>
      <w:pPr>
        <w:pStyle w:val="BodyText"/>
      </w:pPr>
      <w:r>
        <w:t xml:space="preserve">The effect of the length-to-width ratio is shown in Figure 4-7.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width-to-thickness aspect ratio b/t = 500 / 1000 / 2000." title="" id="59" name="Picture"/>
            <a:graphic>
              <a:graphicData uri="http://schemas.openxmlformats.org/drawingml/2006/picture">
                <pic:pic>
                  <pic:nvPicPr>
                    <pic:cNvPr descr="figures_ch4_bw/P_aspect_b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width-to-thickness aspect ratio b/t = 500 / 1000 / 2000.</w:t>
      </w:r>
    </w:p>
    <w:p>
      <w:pPr>
        <w:pStyle w:val="BodyText"/>
      </w:pPr>
      <w:r>
        <w:t xml:space="preserve">The width-to-thickness ratio (Figure 4-8)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61"/>
    <w:bookmarkStart w:id="65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relaxation time: Fourier (tau=0) and Lord-Shulman tau = 0.04 / 0.15 / 0.44 / 0.87; overshoot grows with tau*." title="" id="63" name="Picture"/>
            <a:graphic>
              <a:graphicData uri="http://schemas.openxmlformats.org/drawingml/2006/picture">
                <pic:pic>
                  <pic:nvPicPr>
                    <pic:cNvPr descr="figures_ch4_bw/C_relax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relaxation time: Fourier (tau</w:t>
      </w:r>
      <w:r>
        <w:rPr>
          <w:i/>
          <w:iCs/>
        </w:rPr>
        <w:t xml:space="preserve">=0) and Lord-Shulman tau</w:t>
      </w:r>
      <w:r>
        <w:t xml:space="preserve"> </w:t>
      </w:r>
      <w:r>
        <w:t xml:space="preserve">= 0.04 / 0.15 / 0.44 / 0.87; overshoot grows with tau*.</w:t>
      </w:r>
    </w:p>
    <w:p>
      <w:pPr>
        <w:pStyle w:val="BodyText"/>
      </w:pPr>
      <w:r>
        <w:t xml:space="preserve">Figure 4-9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5"/>
    <w:bookmarkStart w:id="69" w:name="effect-of-the-end-supports"/>
    <w:p>
      <w:pPr>
        <w:pStyle w:val="Heading2"/>
      </w:pPr>
      <w:r>
        <w:t xml:space="preserve">4-10. Effect of the end supports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end supports: simply supported (S-S), mixed (S-C) and clamped (C-C)." title="" id="67" name="Picture"/>
            <a:graphic>
              <a:graphicData uri="http://schemas.openxmlformats.org/drawingml/2006/picture">
                <pic:pic>
                  <pic:nvPicPr>
                    <pic:cNvPr descr="figures_ch4_bw/F_end_B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end supports: simply supported (S-S), mixed (S-C) and clamped (C-C).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4-10,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9"/>
    <w:bookmarkStart w:id="73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 internal pressure P_i = 0 / 10 / 50 / 100 MPa; the mechanical response grows linearly." title="" id="71" name="Picture"/>
            <a:graphic>
              <a:graphicData uri="http://schemas.openxmlformats.org/drawingml/2006/picture">
                <pic:pic>
                  <pic:nvPicPr>
                    <pic:cNvPr descr="figures_ch4_bw/G_pressur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internal pressure P_i = 0 / 10 / 50 / 100 MPa; the mechanical response grows linearly.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3"/>
    <w:bookmarkStart w:id="77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cylinder length l = 1 / 2.1 / 5 / 10 m and the approach to the long-cylinder limit." title="" id="75" name="Picture"/>
            <a:graphic>
              <a:graphicData uri="http://schemas.openxmlformats.org/drawingml/2006/picture">
                <pic:pic>
                  <pic:nvPicPr>
                    <pic:cNvPr descr="figures_ch4_bw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cylinder length l = 1 / 2.1 / 5 / 10 m and the approach to the long-cylinder limit.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4-12,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7"/>
    <w:bookmarkStart w:id="84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4-13.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through-wall dimensionless temperature T*(xi) for every pattern pair; porosity A is a universal thermal barrier." title="" id="79" name="Picture"/>
            <a:graphic>
              <a:graphicData uri="http://schemas.openxmlformats.org/drawingml/2006/picture">
                <pic:pic>
                  <pic:nvPicPr>
                    <pic:cNvPr descr="figures_ch4_bw/matrix25_Tsta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through-wall dimensionless temperature T*(xi) for every pattern pair; porosity A is a universal thermal barrier.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hoop-stress profile Sigma_thth(xi) for every pattern pair." title="" id="82" name="Picture"/>
            <a:graphic>
              <a:graphicData uri="http://schemas.openxmlformats.org/drawingml/2006/picture">
                <pic:pic>
                  <pic:nvPicPr>
                    <pic:cNvPr descr="figures_ch4_bw/matrix25_Sigma_tht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hoop-stress profile Sigma_thth(xi) for every pattern pair.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4"/>
    <w:bookmarkStart w:id="88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rmo-mechanical coupling: fully coupled versus uncoupled energy equation." title="" id="86" name="Picture"/>
            <a:graphic>
              <a:graphicData uri="http://schemas.openxmlformats.org/drawingml/2006/picture">
                <pic:pic>
                  <pic:nvPicPr>
                    <pic:cNvPr descr="figures_ch4_bw/I_coupl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thermo-mechanical coupling: fully coupled versus uncoupled energy equation.</w:t>
      </w:r>
    </w:p>
    <w:p>
      <w:pPr>
        <w:pStyle w:val="BodyText"/>
      </w:pPr>
      <w:r>
        <w:t xml:space="preserve">Figure 4-14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8"/>
    <w:bookmarkStart w:id="92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outer-surface convection coefficient h_c = 10 / 100 / 1000 W/m2K." title="" id="90" name="Picture"/>
            <a:graphic>
              <a:graphicData uri="http://schemas.openxmlformats.org/drawingml/2006/picture">
                <pic:pic>
                  <pic:nvPicPr>
                    <pic:cNvPr descr="figures_ch4_bw/J_convec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outer-surface convection coefficient h_c = 10 / 100 / 1000 W/m2K.</w:t>
      </w:r>
    </w:p>
    <w:p>
      <w:pPr>
        <w:pStyle w:val="BodyText"/>
      </w:pPr>
      <w:r>
        <w:t xml:space="preserve">Figure 4-15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2"/>
    <w:bookmarkStart w:id="96" w:name="effect-of-the-wall-thickness"/>
    <w:p>
      <w:pPr>
        <w:pStyle w:val="Heading2"/>
      </w:pPr>
      <w:r>
        <w:t xml:space="preserve">4-16. Effect of the wall thickness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wall thickness, radius ratio R_o/R_i = 1.25 / 1.5 / 2.0 (inner radius fixed)." title="" id="94" name="Picture"/>
            <a:graphic>
              <a:graphicData uri="http://schemas.openxmlformats.org/drawingml/2006/picture">
                <pic:pic>
                  <pic:nvPicPr>
                    <pic:cNvPr descr="figures_ch4_bw/K_thicknes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wall thickness, radius ratio R_o/R_i = 1.25 / 1.5 / 2.0 (inner radius fixed).</w:t>
      </w:r>
    </w:p>
    <w:p>
      <w:pPr>
        <w:pStyle w:val="BodyText"/>
      </w:pPr>
      <w:r>
        <w:t xml:space="preserve">Figure 4-16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6"/>
    <w:bookmarkStart w:id="100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Response to a Gaussian thermal shock: Lord-Shulman versus Fourier; the LS pulse arrives later, stronger and persists." title="" id="98" name="Picture"/>
            <a:graphic>
              <a:graphicData uri="http://schemas.openxmlformats.org/drawingml/2006/picture">
                <pic:pic>
                  <pic:nvPicPr>
                    <pic:cNvPr descr="figures_ch4_bw/M_gauss_shoc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to a Gaussian thermal shock: Lord-Shulman versus Fourier; the LS pulse arrives later, stronger and persists.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4-17).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accompanying wave-front figures (Figure 4-17b) show the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100"/>
    <w:bookmarkStart w:id="101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4-3.</w:t>
      </w:r>
    </w:p>
    <w:p>
      <w:pPr>
        <w:pStyle w:val="BodyText"/>
      </w:pPr>
      <w:r>
        <w:rPr>
          <w:b/>
          <w:bCs/>
        </w:rPr>
        <w:t xml:space="preserve">Table 4-3: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101"/>
    <w:bookmarkStart w:id="102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2"/>
    <w:bookmarkStart w:id="106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Comparison of the generalized thermoelasticity theories: Fourier / Lord-Shulman / dual-phase-lag / Green-Naghdi III." title="" id="104" name="Picture"/>
            <a:graphic>
              <a:graphicData uri="http://schemas.openxmlformats.org/drawingml/2006/picture">
                <pic:pic>
                  <pic:nvPicPr>
                    <pic:cNvPr descr="figures_ch4_bw/T3_theori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the generalized thermoelasticity theories: Fourier / Lord-Shulman / dual-phase-lag / Green-Naghdi III.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4-18,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6"/>
    <w:bookmarkStart w:id="107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62" Target="media/rId62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03" Target="media/rId10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81" Target="media/rId81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2026-08-01T21:47:08Z</dcterms:created>
  <dcterms:modified xsi:type="dcterms:W3CDTF">2026-08-01T21:47:08Z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