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1.png" ContentType="image/png"/>
  <Override PartName="/word/media/rId62.png" ContentType="image/png"/>
  <Override PartName="/word/media/rId51.png" ContentType="image/png"/>
  <Override PartName="/word/media/rId48.png" ContentType="image/png"/>
  <Override PartName="/word/media/rId44.png" ContentType="image/png"/>
  <Override PartName="/word/media/rId66.png" ContentType="image/png"/>
  <Override PartName="/word/media/rId70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55.png" ContentType="image/png"/>
  <Override PartName="/word/media/rId58.png" ContentType="image/png"/>
  <Override PartName="/word/media/rId74.png" ContentType="image/png"/>
  <Override PartName="/word/media/rId103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81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chapter-4-research-findings"/>
    <w:p>
      <w:pPr>
        <w:pStyle w:val="Heading1"/>
      </w:pPr>
      <w:r>
        <w:t xml:space="preserve">Chapter 4: Research Findings</w:t>
      </w:r>
    </w:p>
    <w:bookmarkStart w:id="9" w:name="introduction"/>
    <w:p>
      <w:pPr>
        <w:pStyle w:val="Heading2"/>
      </w:pPr>
      <w:r>
        <w:t xml:space="preserve">4-1. Introduction</w:t>
      </w:r>
    </w:p>
    <w:p>
      <w:pPr>
        <w:pStyle w:val="FirstParagraph"/>
      </w:pPr>
      <w:r>
        <w:t xml:space="preserve">This chapter presents and discusses the numerical findings for the multilayer</w:t>
      </w:r>
      <w:r>
        <w:t xml:space="preserve"> </w:t>
      </w:r>
      <w:r>
        <w:t xml:space="preserve">porous GPL-reinforced hollow cylinder under thermo-mechanical loading, based on</w:t>
      </w:r>
      <w:r>
        <w:t xml:space="preserve"> </w:t>
      </w:r>
      <w:r>
        <w:t xml:space="preserve">the governing equations and the solution method of Chapter 3. First the</w:t>
      </w:r>
      <w:r>
        <w:t xml:space="preserve"> </w:t>
      </w:r>
      <w:r>
        <w:t xml:space="preserve">reference problem and the dimensionless quantities are introduced; then the</w:t>
      </w:r>
      <w:r>
        <w:t xml:space="preserve"> </w:t>
      </w:r>
      <w:r>
        <w:t xml:space="preserve">numerical convergence of the solution and its verification — treated as two</w:t>
      </w:r>
      <w:r>
        <w:t xml:space="preserve"> </w:t>
      </w:r>
      <w:r>
        <w:t xml:space="preserve">independent topics — are established through separate tests. The main</w:t>
      </w:r>
      <w:r>
        <w:t xml:space="preserve"> </w:t>
      </w:r>
      <w:r>
        <w:t xml:space="preserve">parametric studies follow: the GPL distribution pattern; the porosity pattern</w:t>
      </w:r>
      <w:r>
        <w:t xml:space="preserve"> </w:t>
      </w:r>
      <w:r>
        <w:t xml:space="preserve">and level; the GPL weight fraction; the platelet aspect ratios (length-to-width</w:t>
      </w:r>
      <w:r>
        <w:t xml:space="preserve"> </w:t>
      </w:r>
      <w:r>
        <w:t xml:space="preserve">a/b and width-to-thickness b/t); the relaxation time; the end supports; the</w:t>
      </w:r>
      <w:r>
        <w:t xml:space="preserve"> </w:t>
      </w:r>
      <w:r>
        <w:t xml:space="preserve">internal pressure; the cylinder length; the full interaction matrix of the GPL</w:t>
      </w:r>
      <w:r>
        <w:t xml:space="preserve"> </w:t>
      </w:r>
      <w:r>
        <w:t xml:space="preserve">and porosity patterns; the coupling of the equations; the convection</w:t>
      </w:r>
      <w:r>
        <w:t xml:space="preserve"> </w:t>
      </w:r>
      <w:r>
        <w:t xml:space="preserve">coefficient; the wall thickness; and a Gaussian thermal shock. Finally, three</w:t>
      </w:r>
      <w:r>
        <w:t xml:space="preserve"> </w:t>
      </w:r>
      <w:r>
        <w:t xml:space="preserve">extension studies that go beyond comparable previous works [6] — a comparison of</w:t>
      </w:r>
      <w:r>
        <w:t xml:space="preserve"> </w:t>
      </w:r>
      <w:r>
        <w:t xml:space="preserve">time-integration methods, a comparison of spatial-discretization methods, and a</w:t>
      </w:r>
      <w:r>
        <w:t xml:space="preserve"> </w:t>
      </w:r>
      <w:r>
        <w:t xml:space="preserve">comparison of generalized thermoelasticity theories — are reported, and the</w:t>
      </w:r>
      <w:r>
        <w:t xml:space="preserve"> </w:t>
      </w:r>
      <w:r>
        <w:t xml:space="preserve">chapter is summarized.</w:t>
      </w:r>
    </w:p>
    <w:bookmarkEnd w:id="9"/>
    <w:bookmarkStart w:id="10" w:name="X6ed9290f0a39d3c0300a882e33278e7f18f3a37"/>
    <w:p>
      <w:pPr>
        <w:pStyle w:val="Heading2"/>
      </w:pPr>
      <w:r>
        <w:t xml:space="preserve">4-2. Reference problem and dimensionless quantities</w:t>
      </w:r>
    </w:p>
    <w:p>
      <w:pPr>
        <w:pStyle w:val="FirstParagraph"/>
      </w:pPr>
      <w:r>
        <w:t xml:space="preserve">The problem under study is a thick-walled hollow cylinder with inner radius</w:t>
      </w:r>
      <w:r>
        <w:t xml:space="preserve"> </w:t>
      </w:r>
      <w:r>
        <w:t xml:space="preserve">R_i = 1.0 m and outer radius R_o = 1.5 m (radius ratio R_o/R_i = 1.5, wall</w:t>
      </w:r>
      <w:r>
        <w:t xml:space="preserve"> </w:t>
      </w:r>
      <w:r>
        <w:t xml:space="preserve">thickness h = 0.5 m), length l = 2.1 m, built from N_L = 7 layers. In the</w:t>
      </w:r>
      <w:r>
        <w:t xml:space="preserve"> </w:t>
      </w:r>
      <w:r>
        <w:t xml:space="preserve">reference case the GPL distribution across the thickness is uniform (UD) with</w:t>
      </w:r>
      <w:r>
        <w:t xml:space="preserve"> </w:t>
      </w:r>
      <w:r>
        <w:t xml:space="preserve">total weight fraction W_GPL = 0.3 %, the porosity distribution is uniform (UD)</w:t>
      </w:r>
      <w:r>
        <w:t xml:space="preserve"> </w:t>
      </w:r>
      <w:r>
        <w:t xml:space="preserve">with mass coefficient e_m3 = 0.8604, and the Lord-Shulman theory [4] with</w:t>
      </w:r>
      <w:r>
        <w:t xml:space="preserve"> </w:t>
      </w:r>
      <w:r>
        <w:t xml:space="preserve">dimensionless relaxation time τ* = 0.15 is used in fully coupled form with both</w:t>
      </w:r>
      <w:r>
        <w:t xml:space="preserve"> </w:t>
      </w:r>
      <w:r>
        <w:t xml:space="preserve">ends simply supported (S). The loading is as follows: the inner-surface</w:t>
      </w:r>
      <w:r>
        <w:t xml:space="preserve"> </w:t>
      </w:r>
      <w:r>
        <w:t xml:space="preserve">temperature rises from the initial 300 K to 600 K according to the smooth ramp</w:t>
      </w:r>
      <w:r>
        <w:t xml:space="preserve"> </w:t>
      </w:r>
      <w:r>
        <w:t xml:space="preserve">T_in(t) = 300 + 300(1 − e^(−t/t0)) with time constant t0 = 2 s, while an</w:t>
      </w:r>
      <w:r>
        <w:t xml:space="preserve"> </w:t>
      </w:r>
      <w:r>
        <w:t xml:space="preserve">internal pressure P_i = 50 MPa acts on the inner surface; the outer surface</w:t>
      </w:r>
      <w:r>
        <w:t xml:space="preserve"> </w:t>
      </w:r>
      <w:r>
        <w:t xml:space="preserve">exchanges heat with the 300 K environment through the convection coefficient</w:t>
      </w:r>
      <w:r>
        <w:t xml:space="preserve"> </w:t>
      </w:r>
      <w:r>
        <w:t xml:space="preserve">h_c = 10 W/m²K. The discretization uses N_r = 15 points per layer and N_z = 11</w:t>
      </w:r>
      <w:r>
        <w:t xml:space="preserve"> </w:t>
      </w:r>
      <w:r>
        <w:t xml:space="preserve">axial points (layerwise differential quadrature, Chapter 3) with the time step</w:t>
      </w:r>
      <w:r>
        <w:t xml:space="preserve"> </w:t>
      </w:r>
      <w:r>
        <w:t xml:space="preserve">Δt = 1 s up to 3000 s. The Newmark parameters are δ = 1/2 and β = 1/4 (no</w:t>
      </w:r>
      <w:r>
        <w:t xml:space="preserve"> </w:t>
      </w:r>
      <w:r>
        <w:t xml:space="preserve">numerical damping); accordingly, the small oscillations visible behind sharp</w:t>
      </w:r>
      <w:r>
        <w:t xml:space="preserve"> </w:t>
      </w:r>
      <w:r>
        <w:t xml:space="preserve">wave fronts are the well-known Gibbs effect of the spectral discretization and</w:t>
      </w:r>
      <w:r>
        <w:t xml:space="preserve"> </w:t>
      </w:r>
      <w:r>
        <w:t xml:space="preserve">are left unfiltered so that the results are reported without manipulation.</w:t>
      </w:r>
    </w:p>
    <w:p>
      <w:pPr>
        <w:pStyle w:val="BodyText"/>
      </w:pPr>
      <w:r>
        <w:t xml:space="preserve">For generality all results are presented in dimensionless form, following the</w:t>
      </w:r>
      <w:r>
        <w:t xml:space="preserve"> </w:t>
      </w:r>
      <w:r>
        <w:t xml:space="preserve">convention of reference [x] (Heydarpour et al.). The reference thermal</w:t>
      </w:r>
      <w:r>
        <w:t xml:space="preserve"> </w:t>
      </w:r>
      <w:r>
        <w:t xml:space="preserve">diffusivity of the homogenized reference material is</w:t>
      </w:r>
      <w:r>
        <w:t xml:space="preserve"> </w:t>
      </w:r>
      <w:r>
        <w:t xml:space="preserve">α̂ = k̄/(ρ̄c̄) = 8.97×10⁻⁵ m²/s, and the length scale is the wall thickness</w:t>
      </w:r>
      <w:r>
        <w:t xml:space="preserve"> </w:t>
      </w:r>
      <w:r>
        <w:t xml:space="preserve">h = R_o − R_i, not the outer radius; the definitions are collected in Table 4-1.</w:t>
      </w:r>
      <w:r>
        <w:t xml:space="preserve"> </w:t>
      </w:r>
      <w:r>
        <w:t xml:space="preserve">With this scaling one thermal-diffusion time across the wall, h²/α̂ ≈ 2787 s,</w:t>
      </w:r>
      <w:r>
        <w:t xml:space="preserve"> </w:t>
      </w:r>
      <w:r>
        <w:t xml:space="preserve">corresponds to Fo = 1, and the 3000 s window spans Fo ≈ 1.08. The Lord-Shulman</w:t>
      </w:r>
      <w:r>
        <w:t xml:space="preserve"> </w:t>
      </w:r>
      <w:r>
        <w:t xml:space="preserve">thermal-wave speed of the reference material is v = √(α̂/τ0) = 4.63×10⁻⁴ m/s;</w:t>
      </w:r>
      <w:r>
        <w:t xml:space="preserve"> </w:t>
      </w:r>
      <w:r>
        <w:t xml:space="preserve">crossing the full wall thickness therefore takes about 1080 s, i.e. Fo ≈ 0.39,</w:t>
      </w:r>
      <w:r>
        <w:t xml:space="preserve"> </w:t>
      </w:r>
      <w:r>
        <w:t xml:space="preserve">which equals √τ* as the hyperbolic theory requires — and, as will be seen, this</w:t>
      </w:r>
      <w:r>
        <w:t xml:space="preserve"> </w:t>
      </w:r>
      <w:r>
        <w:t xml:space="preserve">is exactly where the first wave arrival appears in the time histories.</w:t>
      </w:r>
    </w:p>
    <w:p>
      <w:pPr>
        <w:pStyle w:val="BodyText"/>
      </w:pPr>
      <w:r>
        <w:rPr>
          <w:b/>
          <w:bCs/>
        </w:rPr>
        <w:t xml:space="preserve">Table 4-1: Dimensionless quantities used in this chapter.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value/range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Fourier number (dimensionless time)</w:t>
            </w:r>
          </w:p>
        </w:tc>
        <w:tc>
          <w:tcPr/>
          <w:p>
            <w:pPr>
              <w:pStyle w:val="Compact"/>
            </w:pPr>
            <w:r>
              <w:t xml:space="preserve">Fo = α̂ t / h²</w:t>
            </w:r>
          </w:p>
        </w:tc>
        <w:tc>
          <w:tcPr/>
          <w:p>
            <w:pPr>
              <w:pStyle w:val="Compact"/>
            </w:pPr>
            <w:r>
              <w:t xml:space="preserve">Fo(3000 s) = 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relaxation time</w:t>
            </w:r>
          </w:p>
        </w:tc>
        <w:tc>
          <w:tcPr/>
          <w:p>
            <w:pPr>
              <w:pStyle w:val="Compact"/>
            </w:pPr>
            <w:r>
              <w:t xml:space="preserve">τ* = α̂ τ0 / h²</w:t>
            </w:r>
          </w:p>
        </w:tc>
        <w:tc>
          <w:tcPr/>
          <w:p>
            <w:pPr>
              <w:pStyle w:val="Compact"/>
            </w:pPr>
            <w:r>
              <w:t xml:space="preserve">0.15 (reference; τ0 = 418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temperature</w:t>
            </w:r>
          </w:p>
        </w:tc>
        <w:tc>
          <w:tcPr/>
          <w:p>
            <w:pPr>
              <w:pStyle w:val="Compact"/>
            </w:pPr>
            <w:r>
              <w:t xml:space="preserve">T* = (T − T∞)/T∞</w:t>
            </w:r>
          </w:p>
        </w:tc>
        <w:tc>
          <w:tcPr/>
          <w:p>
            <w:pPr>
              <w:pStyle w:val="Compact"/>
            </w:pPr>
            <w:r>
              <w:t xml:space="preserve">0 … ≈1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coordinate</w:t>
            </w:r>
          </w:p>
        </w:tc>
        <w:tc>
          <w:tcPr/>
          <w:p>
            <w:pPr>
              <w:pStyle w:val="Compact"/>
            </w:pPr>
            <w:r>
              <w:t xml:space="preserve">ξ = (r − R_i)/h</w:t>
            </w:r>
          </w:p>
        </w:tc>
        <w:tc>
          <w:tcPr/>
          <w:p>
            <w:pPr>
              <w:pStyle w:val="Compact"/>
            </w:pPr>
            <w:r>
              <w:t xml:space="preserve">0 …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displacement</w:t>
            </w:r>
          </w:p>
        </w:tc>
        <w:tc>
          <w:tcPr/>
          <w:p>
            <w:pPr>
              <w:pStyle w:val="Compact"/>
            </w:pPr>
            <w:r>
              <w:t xml:space="preserve">U* = u /[(1 − ν) α T∞ h]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stress</w:t>
            </w:r>
          </w:p>
        </w:tc>
        <w:tc>
          <w:tcPr/>
          <w:p>
            <w:pPr>
              <w:pStyle w:val="Compact"/>
            </w:pPr>
            <w:r>
              <w:t xml:space="preserve">Σ* = (1 + ν) σ /(E α T∞)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Here ν, α and E are the reference-material Poisson ratio, thermal-expansion</w:t>
      </w:r>
      <w:r>
        <w:t xml:space="preserve"> </w:t>
      </w:r>
      <w:r>
        <w:t xml:space="preserve">coefficient and Young modulus (ν = 0.340, α = 5.98×10⁻⁵ K⁻¹, E = 4.43 GPa for</w:t>
      </w:r>
      <w:r>
        <w:t xml:space="preserve"> </w:t>
      </w:r>
      <w:r>
        <w:t xml:space="preserve">the reference porous UD composite). Because the inner-surface temperature is</w:t>
      </w:r>
      <w:r>
        <w:t xml:space="preserve"> </w:t>
      </w:r>
      <w:r>
        <w:t xml:space="preserve">raised to twice the ambient value (T_in = 2 T∞), the inner boundary corresponds</w:t>
      </w:r>
      <w:r>
        <w:t xml:space="preserve"> </w:t>
      </w:r>
      <w:r>
        <w:t xml:space="preserve">to T* = 1, so any excursion above unity in the temperature field is a genuine</w:t>
      </w:r>
      <w:r>
        <w:t xml:space="preserve"> </w:t>
      </w:r>
      <w:r>
        <w:t xml:space="preserve">overshoot produced by the reflected thermal wave.</w:t>
      </w:r>
    </w:p>
    <w:bookmarkEnd w:id="10"/>
    <w:bookmarkStart w:id="26" w:name="numerical-convergence"/>
    <w:p>
      <w:pPr>
        <w:pStyle w:val="Heading2"/>
      </w:pPr>
      <w:r>
        <w:t xml:space="preserve">4-3. Numerical convergence</w:t>
      </w:r>
    </w:p>
    <w:p>
      <w:pPr>
        <w:pStyle w:val="FirstParagraph"/>
      </w:pPr>
      <w:r>
        <w:t xml:space="preserve">Before the results are verified, the numerical convergence of the solution is</w:t>
      </w:r>
      <w:r>
        <w:t xml:space="preserve"> </w:t>
      </w:r>
      <w:r>
        <w:t xml:space="preserve">examined independently in every discretization direction of the model — the</w:t>
      </w:r>
      <w:r>
        <w:t xml:space="preserve"> </w:t>
      </w:r>
      <w:r>
        <w:t xml:space="preserve">number of radial points per layer N_r, the number of axial points N_z, the</w:t>
      </w:r>
      <w:r>
        <w:t xml:space="preserve"> </w:t>
      </w:r>
      <w:r>
        <w:t xml:space="preserve">number of layers N_L, and the time step Δt — so that any later discrepancy with</w:t>
      </w:r>
      <w:r>
        <w:t xml:space="preserve"> </w:t>
      </w:r>
      <w:r>
        <w:t xml:space="preserve">a reference can be attributed to physics rather than residual numerical error.</w:t>
      </w:r>
      <w:r>
        <w:t xml:space="preserve"> </w:t>
      </w:r>
      <w:r>
        <w:t xml:space="preserve">The convergence measure is the dimensionless hoop stress, reported both as the</w:t>
      </w:r>
      <w:r>
        <w:t xml:space="preserve"> </w:t>
      </w:r>
      <w:r>
        <w:t xml:space="preserve">inner-surface value and as the relative L₂ error of the whole mid-plane radial</w:t>
      </w:r>
      <w:r>
        <w:t xml:space="preserve"> </w:t>
      </w:r>
      <w:r>
        <w:t xml:space="preserve">profile against the finest mesh.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Layer-count convergence: hoop-stress and temperature profiles, L2 error and cost vs number of layers N_L (N_r=15, N_z=11)." title="" id="12" name="Picture"/>
            <a:graphic>
              <a:graphicData uri="http://schemas.openxmlformats.org/drawingml/2006/picture">
                <pic:pic>
                  <pic:nvPicPr>
                    <pic:cNvPr descr="figures_ch4_color/conv_N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Layer-count convergence: hoop-stress and temperature profiles, L2 error and cost vs number of layers N_L (N_r=15, N_z=11).</w:t>
      </w:r>
    </w:p>
    <w:p>
      <w:pPr>
        <w:pStyle w:val="BodyText"/>
      </w:pPr>
      <w:r>
        <w:t xml:space="preserve">Layer convergence is shown in Figure 4-1(NL). As the number of layers is</w:t>
      </w:r>
      <w:r>
        <w:t xml:space="preserve"> </w:t>
      </w:r>
      <w:r>
        <w:t xml:space="preserve">increased through 3, 5, 7, 9 and 15, the dimensionless inner-surface hoop stress</w:t>
      </w:r>
      <w:r>
        <w:t xml:space="preserve"> </w:t>
      </w:r>
      <w:r>
        <w:t xml:space="preserve">takes the values 1.5261, 1.5257, 1.5264, 1.5264 and 1.5265, a total variation</w:t>
      </w:r>
      <w:r>
        <w:t xml:space="preserve"> </w:t>
      </w:r>
      <w:r>
        <w:t xml:space="preserve">below 0.05 %, and the L₂ profile error relative to fifteen layers falls below</w:t>
      </w:r>
      <w:r>
        <w:t xml:space="preserve"> </w:t>
      </w:r>
      <w:r>
        <w:t xml:space="preserve">0.26 %. The field quantities are therefore essentially layer-independent from as</w:t>
      </w:r>
      <w:r>
        <w:t xml:space="preserve"> </w:t>
      </w:r>
      <w:r>
        <w:t xml:space="preserve">few as three layers; the main effect of a larger layer count is only a</w:t>
      </w:r>
      <w:r>
        <w:t xml:space="preserve"> </w:t>
      </w:r>
      <w:r>
        <w:t xml:space="preserve">refinement of the staircase pattern of the hoop-stress profile at the layer</w:t>
      </w:r>
      <w:r>
        <w:t xml:space="preserve"> </w:t>
      </w:r>
      <w:r>
        <w:t xml:space="preserve">interfaces, which is the natural signature of the layerwise property model.</w:t>
      </w:r>
      <w:r>
        <w:t xml:space="preserve"> </w:t>
      </w:r>
      <w:r>
        <w:t xml:space="preserve">Seven layers are adopted in what follows, matching the seven-layer graded</w:t>
      </w:r>
      <w:r>
        <w:t xml:space="preserve"> </w:t>
      </w:r>
      <w:r>
        <w:t xml:space="preserve">build of the reference cylinder while remaining safely on the converged side.</w:t>
      </w:r>
    </w:p>
    <w:p>
      <w:pPr>
        <w:pStyle w:val="CaptionedFigure"/>
      </w:pPr>
      <w:r>
        <w:drawing>
          <wp:inline>
            <wp:extent cx="5334000" cy="4002024"/>
            <wp:effectExtent b="0" l="0" r="0" t="0"/>
            <wp:docPr descr="Radial-node convergence per layer (N_z=11, N_L=7); the field quantities are converged from N_r=7." title="" id="15" name="Picture"/>
            <a:graphic>
              <a:graphicData uri="http://schemas.openxmlformats.org/drawingml/2006/picture">
                <pic:pic>
                  <pic:nvPicPr>
                    <pic:cNvPr descr="figures_ch4_color/conv_N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2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Radial-node convergence per layer (N_z=11, N_L=7); the field quantities are converged from N_r=7.</w:t>
      </w:r>
    </w:p>
    <w:p>
      <w:pPr>
        <w:pStyle w:val="BodyText"/>
      </w:pPr>
      <w:r>
        <w:t xml:space="preserve">Radial convergence within each layer is shown in Figure 4-1(Nr). Increasing the</w:t>
      </w:r>
      <w:r>
        <w:t xml:space="preserve"> </w:t>
      </w:r>
      <w:r>
        <w:t xml:space="preserve">number of radial points per layer through 7, 9, 11, 13 and 15 leaves the</w:t>
      </w:r>
      <w:r>
        <w:t xml:space="preserve"> </w:t>
      </w:r>
      <w:r>
        <w:t xml:space="preserve">inner-surface hoop stress within 0.09 % (1.5251 to 1.5264) and the L₂ profile</w:t>
      </w:r>
      <w:r>
        <w:t xml:space="preserve"> </w:t>
      </w:r>
      <w:r>
        <w:t xml:space="preserve">error below 0.29 % throughout; every mesh from seven points upward is thus</w:t>
      </w:r>
      <w:r>
        <w:t xml:space="preserve"> </w:t>
      </w:r>
      <w:r>
        <w:t xml:space="preserve">converged in the field quantities. This is the hallmark of the spectral</w:t>
      </w:r>
      <w:r>
        <w:t xml:space="preserve"> </w:t>
      </w:r>
      <w:r>
        <w:t xml:space="preserve">(Chebyshev) differential quadrature discretization: three-digit accuracy is</w:t>
      </w:r>
      <w:r>
        <w:t xml:space="preserve"> </w:t>
      </w:r>
      <w:r>
        <w:t xml:space="preserve">reached with a handful of points. The value N_r = 15 is nevertheless adopted for</w:t>
      </w:r>
      <w:r>
        <w:t xml:space="preserve"> </w:t>
      </w:r>
      <w:r>
        <w:t xml:space="preserve">the production runs, because — while it does not change any integral quantity —</w:t>
      </w:r>
      <w:r>
        <w:t xml:space="preserve"> </w:t>
      </w:r>
      <w:r>
        <w:t xml:space="preserve">it renders the sharp, moving second-sound front in the temperature profiles</w:t>
      </w:r>
      <w:r>
        <w:t xml:space="preserve"> </w:t>
      </w:r>
      <w:r>
        <w:t xml:space="preserve">cleanly, without the localized oscillation that a coarser radial mesh leaves at</w:t>
      </w:r>
      <w:r>
        <w:t xml:space="preserve"> </w:t>
      </w:r>
      <w:r>
        <w:t xml:space="preserve">the instant the front sits between two nodes.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Axial-node convergence, the binding direction (N_r=15, N_L=7); N_z=5 gives a 9.4% error, with the clean serial cost." title="" id="18" name="Picture"/>
            <a:graphic>
              <a:graphicData uri="http://schemas.openxmlformats.org/drawingml/2006/picture">
                <pic:pic>
                  <pic:nvPicPr>
                    <pic:cNvPr descr="figures_ch4_color/conv_Nz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Axial-node convergence, the binding direction (N_r=15, N_L=7); N_z=5 gives a 9.4% error, with the clean serial cost.</w:t>
      </w:r>
    </w:p>
    <w:p>
      <w:pPr>
        <w:pStyle w:val="BodyText"/>
      </w:pPr>
      <w:r>
        <w:t xml:space="preserve">The axial direction, shown in Figure 4-1(Nz), is the one that actually governs</w:t>
      </w:r>
      <w:r>
        <w:t xml:space="preserve"> </w:t>
      </w:r>
      <w:r>
        <w:t xml:space="preserve">the mesh. With only five axial points the inner-surface hoop stress is in error</w:t>
      </w:r>
      <w:r>
        <w:t xml:space="preserve"> </w:t>
      </w:r>
      <w:r>
        <w:t xml:space="preserve">by 9.4 % (1.3844 against the converged 1.5278), because the simply-supported</w:t>
      </w:r>
      <w:r>
        <w:t xml:space="preserve"> </w:t>
      </w:r>
      <w:r>
        <w:t xml:space="preserve">end layer is left unresolved; the error then falls to 0.36 %, 1.0 %, 0.09 % and</w:t>
      </w:r>
      <w:r>
        <w:t xml:space="preserve"> </w:t>
      </w:r>
      <w:r>
        <w:t xml:space="preserve">0.02 % for seven, nine, eleven and thirteen points. The convergence is</w:t>
      </w:r>
      <w:r>
        <w:t xml:space="preserve"> </w:t>
      </w:r>
      <w:r>
        <w:t xml:space="preserve">non-monotonic — the oscillatory envelope characteristic of spectral methods —</w:t>
      </w:r>
      <w:r>
        <w:t xml:space="preserve"> </w:t>
      </w:r>
      <w:r>
        <w:t xml:space="preserve">but is clearly settled by nine points, and eleven points give an L₂ profile</w:t>
      </w:r>
      <w:r>
        <w:t xml:space="preserve"> </w:t>
      </w:r>
      <w:r>
        <w:t xml:space="preserve">error of 0.16 %. Eleven axial points are adopted. Unlike the radial direction,</w:t>
      </w:r>
      <w:r>
        <w:t xml:space="preserve"> </w:t>
      </w:r>
      <w:r>
        <w:t xml:space="preserve">the axial one is also the most expensive: measured on a single core, one solve</w:t>
      </w:r>
      <w:r>
        <w:t xml:space="preserve"> </w:t>
      </w:r>
      <w:r>
        <w:t xml:space="preserve">costs 90, 198, 349, 987 and 1630 s for five, seven, nine, thirteen and fifteen</w:t>
      </w:r>
      <w:r>
        <w:t xml:space="preserve"> </w:t>
      </w:r>
      <w:r>
        <w:t xml:space="preserve">axial points, i.e. the cost grows roughly as N_z^2.6, because each added axial</w:t>
      </w:r>
      <w:r>
        <w:t xml:space="preserve"> </w:t>
      </w:r>
      <w:r>
        <w:t xml:space="preserve">point multiplies the entire through-thickness system.</w:t>
      </w:r>
    </w:p>
    <w:p>
      <w:pPr>
        <w:pStyle w:val="CaptionedFigure"/>
      </w:pPr>
      <w:r>
        <w:drawing>
          <wp:inline>
            <wp:extent cx="5334000" cy="3243072"/>
            <wp:effectExtent b="0" l="0" r="0" t="0"/>
            <wp:docPr descr="Time-step convergence; steps up to 2 s are converged while 5 s produces a spurious overshoot." title="" id="21" name="Picture"/>
            <a:graphic>
              <a:graphicData uri="http://schemas.openxmlformats.org/drawingml/2006/picture">
                <pic:pic>
                  <pic:nvPicPr>
                    <pic:cNvPr descr="figures_ch4_color/conv_d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Time-step convergence; steps up to 2 s are converged while 5 s produces a spurious overshoot.</w:t>
      </w:r>
    </w:p>
    <w:p>
      <w:pPr>
        <w:pStyle w:val="BodyText"/>
      </w:pPr>
      <w:r>
        <w:t xml:space="preserve">Time-step convergence is shown in Figure 4-1(dt). For time steps of 0.5, 1 and</w:t>
      </w:r>
      <w:r>
        <w:t xml:space="preserve"> </w:t>
      </w:r>
      <w:r>
        <w:t xml:space="preserve">2 s the response is unchanged, but at Δt = 5 s a spurious 3 % overshoot appears</w:t>
      </w:r>
      <w:r>
        <w:t xml:space="preserve"> </w:t>
      </w:r>
      <w:r>
        <w:t xml:space="preserve">in the peak temperature as the integrator under-resolves the sharp thermal</w:t>
      </w:r>
      <w:r>
        <w:t xml:space="preserve"> </w:t>
      </w:r>
      <w:r>
        <w:t xml:space="preserve">front; the L₂ error of the final hoop-stress profile relative to Δt = 0.5 s is</w:t>
      </w:r>
      <w:r>
        <w:t xml:space="preserve"> </w:t>
      </w:r>
      <w:r>
        <w:t xml:space="preserve">0.17 %, 0.25 % and 0.64 % for 1, 2 and 5 s. A time step of 1 s is adopted, which</w:t>
      </w:r>
      <w:r>
        <w:t xml:space="preserve"> </w:t>
      </w:r>
      <w:r>
        <w:t xml:space="preserve">both resolves the shock and leaves a comfortable margin.</w:t>
      </w:r>
    </w:p>
    <w:p>
      <w:pPr>
        <w:pStyle w:val="CaptionedFigure"/>
      </w:pPr>
      <w:r>
        <w:drawing>
          <wp:inline>
            <wp:extent cx="5334000" cy="4036178"/>
            <wp:effectExtent b="0" l="0" r="0" t="0"/>
            <wp:docPr descr="L2 hoop-profile error versus problem size N_dof, refined one direction at a time; the axial direction is binding." title="" id="24" name="Picture"/>
            <a:graphic>
              <a:graphicData uri="http://schemas.openxmlformats.org/drawingml/2006/picture">
                <pic:pic>
                  <pic:nvPicPr>
                    <pic:cNvPr descr="figures_ch4_color/conv_mast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L2 hoop-profile error versus problem size N_dof, refined one direction at a time; the axial direction is binding.</w:t>
      </w:r>
    </w:p>
    <w:p>
      <w:pPr>
        <w:pStyle w:val="BodyText"/>
      </w:pPr>
      <w:r>
        <w:t xml:space="preserve">Figure 4-1(master) collects the four studies as the L₂ profile error against the</w:t>
      </w:r>
      <w:r>
        <w:t xml:space="preserve"> </w:t>
      </w:r>
      <w:r>
        <w:t xml:space="preserve">total number of unknowns N_dof = 3 N_L N_r N_z, refined one direction at a time.</w:t>
      </w:r>
      <w:r>
        <w:t xml:space="preserve"> </w:t>
      </w:r>
      <w:r>
        <w:t xml:space="preserve">The picture summarizes the numerical character of the model: the radial and</w:t>
      </w:r>
      <w:r>
        <w:t xml:space="preserve"> </w:t>
      </w:r>
      <w:r>
        <w:t xml:space="preserve">layer directions sit below 0.3 % from their smallest meshes and are effectively</w:t>
      </w:r>
      <w:r>
        <w:t xml:space="preserve"> </w:t>
      </w:r>
      <w:r>
        <w:t xml:space="preserve">free, whereas the axial direction both starts far above 1 % and is the steepest</w:t>
      </w:r>
      <w:r>
        <w:t xml:space="preserve"> </w:t>
      </w:r>
      <w:r>
        <w:t xml:space="preserve">in cost. The adopted production mesh (N_r = 15, N_z = 11, N_L = 7, Δt = 1 s) is</w:t>
      </w:r>
      <w:r>
        <w:t xml:space="preserve"> </w:t>
      </w:r>
      <w:r>
        <w:t xml:space="preserve">accordingly balanced — generous where refinement is cheap and merely adequate</w:t>
      </w:r>
      <w:r>
        <w:t xml:space="preserve"> </w:t>
      </w:r>
      <w:r>
        <w:t xml:space="preserve">where it is expensive — and delivers the field quantities to better than 0.2 %.</w:t>
      </w:r>
      <w:r>
        <w:t xml:space="preserve"> </w:t>
      </w:r>
      <w:r>
        <w:t xml:space="preserve">The superiority of the differential-quadrature discretization over the finite</w:t>
      </w:r>
      <w:r>
        <w:t xml:space="preserve"> </w:t>
      </w:r>
      <w:r>
        <w:t xml:space="preserve">difference and finite element methods, in points required per direction, is</w:t>
      </w:r>
      <w:r>
        <w:t xml:space="preserve"> </w:t>
      </w:r>
      <w:r>
        <w:t xml:space="preserve">taken up separately as an extension study in Section 4-19.</w:t>
      </w:r>
    </w:p>
    <w:bookmarkEnd w:id="26"/>
    <w:bookmarkStart w:id="36" w:name="verification"/>
    <w:p>
      <w:pPr>
        <w:pStyle w:val="Heading2"/>
      </w:pPr>
      <w:r>
        <w:t xml:space="preserve">4-4. Verification</w:t>
      </w:r>
    </w:p>
    <w:p>
      <w:pPr>
        <w:pStyle w:val="FirstParagraph"/>
      </w:pPr>
      <w:r>
        <w:t xml:space="preserve">The present numerical solution is verified through five independent checks</w:t>
      </w:r>
      <w:r>
        <w:t xml:space="preserve"> </w:t>
      </w:r>
      <w:r>
        <w:t xml:space="preserve">against exact analytical solutions, published results from the literature, and a</w:t>
      </w:r>
      <w:r>
        <w:t xml:space="preserve"> </w:t>
      </w:r>
      <w:r>
        <w:t xml:space="preserve">commercial finite-element solution. In each check, besides the quantitative</w:t>
      </w:r>
      <w:r>
        <w:t xml:space="preserve"> </w:t>
      </w:r>
      <w:r>
        <w:t xml:space="preserve">error, the present result is plotted as a comparison diagram against the</w:t>
      </w:r>
      <w:r>
        <w:t xml:space="preserve"> </w:t>
      </w:r>
      <w:r>
        <w:t xml:space="preserve">corresponding reference so that the coincidence of the curves is shown visually;</w:t>
      </w:r>
      <w:r>
        <w:t xml:space="preserve"> </w:t>
      </w:r>
      <w:r>
        <w:t xml:space="preserve">these diagrams are collected in the verification appendix. First, the assembly</w:t>
      </w:r>
      <w:r>
        <w:t xml:space="preserve"> </w:t>
      </w:r>
      <w:r>
        <w:t xml:space="preserve">of the static matrices is checked against an independent static solver, with a</w:t>
      </w:r>
      <w:r>
        <w:t xml:space="preserve"> </w:t>
      </w:r>
      <w:r>
        <w:t xml:space="preserve">maximum displacement-field difference of order 2×10⁻¹¹, confirming the numerical</w:t>
      </w:r>
      <w:r>
        <w:t xml:space="preserve"> </w:t>
      </w:r>
      <w:r>
        <w:t xml:space="preserve">equivalence of the two implementations and the correctness of the system</w:t>
      </w:r>
      <w:r>
        <w:t xml:space="preserve"> </w:t>
      </w:r>
      <w:r>
        <w:t xml:space="preserve">assembly.</w:t>
      </w:r>
    </w:p>
    <w:p>
      <w:pPr>
        <w:pStyle w:val="BodyText"/>
      </w:pPr>
      <w:r>
        <w:t xml:space="preserve">In the second check, the dynamic-mechanical part of the problem is compared with</w:t>
      </w:r>
      <w:r>
        <w:t xml:space="preserve"> </w:t>
      </w:r>
      <w:r>
        <w:t xml:space="preserve">the results of Malekzadeh (Table 6 of reference [31], IJPVP 2012) and with an</w:t>
      </w:r>
      <w:r>
        <w:t xml:space="preserve"> </w:t>
      </w:r>
      <w:r>
        <w:t xml:space="preserve">independent ANSYS finite-element solution; the dimensionless radial displacement</w:t>
      </w:r>
      <w:r>
        <w:t xml:space="preserve"> </w:t>
      </w:r>
      <w:r>
        <w:t xml:space="preserve">is reproduced with a relative difference of 0.1 to 0.2 percent, and the</w:t>
      </w:r>
      <w:r>
        <w:t xml:space="preserve"> </w:t>
      </w:r>
      <w:r>
        <w:t xml:space="preserve">dimensionless inner-surface radial stress is obtained exactly as the negative of</w:t>
      </w:r>
      <w:r>
        <w:t xml:space="preserve"> </w:t>
      </w:r>
      <w:r>
        <w:t xml:space="preserve">the applied pressure, in full agreement with the loading boundary condition.</w:t>
      </w:r>
    </w:p>
    <w:p>
      <w:pPr>
        <w:pStyle w:val="BodyText"/>
      </w:pPr>
      <w:r>
        <w:t xml:space="preserve">In the third check, the transient heat-conduction problem is compared with the</w:t>
      </w:r>
      <w:r>
        <w:t xml:space="preserve"> </w:t>
      </w:r>
      <w:r>
        <w:t xml:space="preserve">exact Bessel-series solution; the dimensionless temperature distribution at</w:t>
      </w:r>
      <w:r>
        <w:t xml:space="preserve"> </w:t>
      </w:r>
      <w:r>
        <w:t xml:space="preserve">various times lies on the exact curve, with a relative error of 10⁻⁵ to 10⁻⁷. In</w:t>
      </w:r>
      <w:r>
        <w:t xml:space="preserve"> </w:t>
      </w:r>
      <w:r>
        <w:t xml:space="preserve">the fourth check, the Newmark time integration is validated against MATLAB’s</w:t>
      </w:r>
      <w:r>
        <w:t xml:space="preserve"> </w:t>
      </w:r>
      <w:r>
        <w:t xml:space="preserve">reference solver ode15s, and the maximum temperature difference over the whole</w:t>
      </w:r>
      <w:r>
        <w:t xml:space="preserve"> </w:t>
      </w:r>
      <w:r>
        <w:t xml:space="preserve">interval is 0.003 K, confirming the stability and accuracy of the adopted</w:t>
      </w:r>
      <w:r>
        <w:t xml:space="preserve"> </w:t>
      </w:r>
      <w:r>
        <w:t xml:space="preserve">time-integration scheme. Finally, in the fifth check, the wave-propagation</w:t>
      </w:r>
      <w:r>
        <w:t xml:space="preserve"> </w:t>
      </w:r>
      <w:r>
        <w:t xml:space="preserve">behavior of the coupled Lord-Shulman theory is compared with the results of</w:t>
      </w:r>
      <w:r>
        <w:t xml:space="preserve"> </w:t>
      </w:r>
      <w:r>
        <w:t xml:space="preserve">Bagri and Eslami (2007, reference [7]); both wave speeds (elastic and thermal)</w:t>
      </w:r>
      <w:r>
        <w:t xml:space="preserve"> </w:t>
      </w:r>
      <w:r>
        <w:t xml:space="preserve">and the reflection times within the cylinder wall are correctly reproduced, and</w:t>
      </w:r>
      <w:r>
        <w:t xml:space="preserve"> </w:t>
      </w:r>
      <w:r>
        <w:t xml:space="preserve">the present wave fronts coincide with those of the reference. Taken together,</w:t>
      </w:r>
      <w:r>
        <w:t xml:space="preserve"> </w:t>
      </w:r>
      <w:r>
        <w:t xml:space="preserve">these five checks confirm the validity of the present solution in both the</w:t>
      </w:r>
      <w:r>
        <w:t xml:space="preserve"> </w:t>
      </w:r>
      <w:r>
        <w:t xml:space="preserve">static and the transient regimes and in the coupled and uncoupled cases. A</w:t>
      </w:r>
      <w:r>
        <w:t xml:space="preserve"> </w:t>
      </w:r>
      <w:r>
        <w:t xml:space="preserve">summary is given in Table 4-2.</w:t>
      </w:r>
    </w:p>
    <w:p>
      <w:pPr>
        <w:pStyle w:val="BodyText"/>
      </w:pPr>
      <w:r>
        <w:t xml:space="preserve">The three checks that compare against published or exact references are shown</w:t>
      </w:r>
      <w:r>
        <w:t xml:space="preserve"> </w:t>
      </w:r>
      <w:r>
        <w:t xml:space="preserve">below — the mechanical response against Malekzadeh &amp; Heydarpour and ANSYS, the</w:t>
      </w:r>
      <w:r>
        <w:t xml:space="preserve"> </w:t>
      </w:r>
      <w:r>
        <w:t xml:space="preserve">transient conduction against the exact Bessel-series solution, and the coupled</w:t>
      </w:r>
      <w:r>
        <w:t xml:space="preserve"> </w:t>
      </w:r>
      <w:r>
        <w:t xml:space="preserve">Lord-Shulman wave fronts against Bagri &amp; Eslami — with the present curves</w:t>
      </w:r>
      <w:r>
        <w:t xml:space="preserve"> </w:t>
      </w:r>
      <w:r>
        <w:t xml:space="preserve">coinciding with the references in every case.</w:t>
      </w:r>
    </w:p>
    <w:p>
      <w:pPr>
        <w:pStyle w:val="CaptionedFigure"/>
      </w:pPr>
      <w:r>
        <w:drawing>
          <wp:inline>
            <wp:extent cx="5334000" cy="3810348"/>
            <wp:effectExtent b="0" l="0" r="0" t="0"/>
            <wp:docPr descr="Verification (mechanical): dimensionless inner-surface radial displacement of the present solver against Malekzadeh &amp; Heydarpour (2012) and an independent ANSYS solution." title="" id="28" name="Picture"/>
            <a:graphic>
              <a:graphicData uri="http://schemas.openxmlformats.org/drawingml/2006/picture">
                <pic:pic>
                  <pic:nvPicPr>
                    <pic:cNvPr descr="figures_ch4_color/bench1_U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(mechanical): dimensionless inner-surface radial displacement of the present solver against Malekzadeh &amp; Heydarpour (2012) and an independent ANSYS solution.</w:t>
      </w:r>
    </w:p>
    <w:p>
      <w:pPr>
        <w:pStyle w:val="CaptionedFigure"/>
      </w:pPr>
      <w:r>
        <w:drawing>
          <wp:inline>
            <wp:extent cx="5334000" cy="3697845"/>
            <wp:effectExtent b="0" l="0" r="0" t="0"/>
            <wp:docPr descr="Verification (thermal): transient temperature profiles from the present DQM+Newmark solver against the exact Bessel-series solution at t = 2, 10 and 40 s." title="" id="31" name="Picture"/>
            <a:graphic>
              <a:graphicData uri="http://schemas.openxmlformats.org/drawingml/2006/picture">
                <pic:pic>
                  <pic:nvPicPr>
                    <pic:cNvPr descr="figures_ch4_color/bench2_T_profil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(thermal): transient temperature profiles from the present DQM+Newmark solver against the exact Bessel-series solution at t = 2, 10 and 40 s.</w:t>
      </w:r>
    </w:p>
    <w:p>
      <w:pPr>
        <w:pStyle w:val="CaptionedFigure"/>
      </w:pPr>
      <w:r>
        <w:drawing>
          <wp:inline>
            <wp:extent cx="5334000" cy="3472656"/>
            <wp:effectExtent b="0" l="0" r="0" t="0"/>
            <wp:docPr descr="Verification (Lord-Shulman waves): second-sound temperature fronts through the wall against Bagri &amp; Eslami (2007), Fig. 2." title="" id="34" name="Picture"/>
            <a:graphic>
              <a:graphicData uri="http://schemas.openxmlformats.org/drawingml/2006/picture">
                <pic:pic>
                  <pic:nvPicPr>
                    <pic:cNvPr descr="figures_ch4_color/bench3_thet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Verification (Lord-Shulman waves): second-sound temperature fronts through the wall against Bagri &amp; Eslami (2007), Fig. 2.</w:t>
      </w:r>
    </w:p>
    <w:p>
      <w:pPr>
        <w:pStyle w:val="BodyText"/>
      </w:pPr>
      <w:r>
        <w:rPr>
          <w:b/>
          <w:bCs/>
        </w:rPr>
        <w:t xml:space="preserve">Table 4-2: Summary of the solver verification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static spatial assembly</w:t>
            </w:r>
          </w:p>
        </w:tc>
        <w:tc>
          <w:tcPr/>
          <w:p>
            <w:pPr>
              <w:pStyle w:val="Compact"/>
            </w:pPr>
            <w:r>
              <w:t xml:space="preserve">independent static solver</w:t>
            </w:r>
          </w:p>
        </w:tc>
        <w:tc>
          <w:tcPr/>
          <w:p>
            <w:pPr>
              <w:pStyle w:val="Compact"/>
            </w:pPr>
            <w:r>
              <w:t xml:space="preserve">agreement 2×10⁻¹¹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dynamic mechanical response</w:t>
            </w:r>
          </w:p>
        </w:tc>
        <w:tc>
          <w:tcPr/>
          <w:p>
            <w:pPr>
              <w:pStyle w:val="Compact"/>
            </w:pPr>
            <w:r>
              <w:t xml:space="preserve">reference [31] + ANSYS</w:t>
            </w:r>
          </w:p>
        </w:tc>
        <w:tc>
          <w:tcPr/>
          <w:p>
            <w:pPr>
              <w:pStyle w:val="Compact"/>
            </w:pPr>
            <w:r>
              <w:t xml:space="preserve">error 0.1–0.2 %; σ_rr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transient conduction</w:t>
            </w:r>
          </w:p>
        </w:tc>
        <w:tc>
          <w:tcPr/>
          <w:p>
            <w:pPr>
              <w:pStyle w:val="Compact"/>
            </w:pPr>
            <w:r>
              <w:t xml:space="preserve">exact Bessel-series solution</w:t>
            </w:r>
          </w:p>
        </w:tc>
        <w:tc>
          <w:tcPr/>
          <w:p>
            <w:pPr>
              <w:pStyle w:val="Compact"/>
            </w:pPr>
            <w:r>
              <w:t xml:space="preserve">rel. error 10⁻⁵–10⁻⁷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time integration</w:t>
            </w:r>
          </w:p>
        </w:tc>
        <w:tc>
          <w:tcPr/>
          <w:p>
            <w:pPr>
              <w:pStyle w:val="Compact"/>
            </w:pPr>
            <w:r>
              <w:t xml:space="preserve">ode15s (independent)</w:t>
            </w:r>
          </w:p>
        </w:tc>
        <w:tc>
          <w:tcPr/>
          <w:p>
            <w:pPr>
              <w:pStyle w:val="Compact"/>
            </w:pPr>
            <w:r>
              <w:t xml:space="preserve">max difference 0.003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coupled Lord-Shulman waves</w:t>
            </w:r>
          </w:p>
        </w:tc>
        <w:tc>
          <w:tcPr/>
          <w:p>
            <w:pPr>
              <w:pStyle w:val="Compact"/>
            </w:pPr>
            <w:r>
              <w:t xml:space="preserve">Bagri &amp; Eslami [7]</w:t>
            </w:r>
          </w:p>
        </w:tc>
        <w:tc>
          <w:tcPr/>
          <w:p>
            <w:pPr>
              <w:pStyle w:val="Compact"/>
            </w:pPr>
            <w:r>
              <w:t xml:space="preserve">speeds and reflections matched</w:t>
            </w:r>
          </w:p>
        </w:tc>
      </w:tr>
    </w:tbl>
    <w:bookmarkEnd w:id="36"/>
    <w:bookmarkStart w:id="40" w:name="effect-of-the-gpl-distribution-pattern"/>
    <w:p>
      <w:pPr>
        <w:pStyle w:val="Heading2"/>
      </w:pPr>
      <w:r>
        <w:t xml:space="preserve">4-5. Effect of the GPL distribution pattern</w:t>
      </w:r>
    </w:p>
    <w:p>
      <w:pPr>
        <w:pStyle w:val="FirstParagraph"/>
      </w:pPr>
      <w:r>
        <w:t xml:space="preserve">In the first parametric study the effect of five GPL distribution patterns across</w:t>
      </w:r>
      <w:r>
        <w:t xml:space="preserve"> </w:t>
      </w:r>
      <w:r>
        <w:t xml:space="preserve">the thickness (UD, O, X, V and A) is examined with all other parameters held at</w:t>
      </w:r>
      <w:r>
        <w:t xml:space="preserve"> </w:t>
      </w:r>
      <w:r>
        <w:t xml:space="preserve">their reference values. Figure 4-2 shows the time histories of the dimensionless</w:t>
      </w:r>
      <w:r>
        <w:t xml:space="preserve"> </w:t>
      </w:r>
      <w:r>
        <w:t xml:space="preserve">temperature and radial displacement of the mid-thickness point at the mid-length</w:t>
      </w:r>
      <w:r>
        <w:t xml:space="preserve"> </w:t>
      </w:r>
      <w:r>
        <w:t xml:space="preserve">section together with the radial profiles of the temperature and hoop stress at</w:t>
      </w:r>
      <w:r>
        <w:t xml:space="preserve"> </w:t>
      </w:r>
      <w:r>
        <w:t xml:space="preserve">the final time.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GPL distribution pattern (UD, O, X, V, A): mid-point T* and U* histories vs Fo and the final T*, hoop-stress profiles vs xi." title="" id="38" name="Picture"/>
            <a:graphic>
              <a:graphicData uri="http://schemas.openxmlformats.org/drawingml/2006/picture">
                <pic:pic>
                  <pic:nvPicPr>
                    <pic:cNvPr descr="figures_ch4_color/A_GPL_pattern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distribution pattern (UD, O, X, V, A): mid-point T* and U* histories vs Fo and the final T*, hoop-stress profiles vs xi.</w:t>
      </w:r>
    </w:p>
    <w:p>
      <w:pPr>
        <w:pStyle w:val="BodyText"/>
      </w:pPr>
      <w:r>
        <w:t xml:space="preserve">The peak mid-point dimensionless temperature for patterns UD, O, X, V and A is</w:t>
      </w:r>
      <w:r>
        <w:t xml:space="preserve"> </w:t>
      </w:r>
      <w:r>
        <w:t xml:space="preserve">0.926, 0.867, 0.841, 0.661 and 0.982, respectively. Pattern V, in which the GPLs</w:t>
      </w:r>
      <w:r>
        <w:t xml:space="preserve"> </w:t>
      </w:r>
      <w:r>
        <w:t xml:space="preserve">are concentrated at the heated inner surface, shows the most favorable behavior:</w:t>
      </w:r>
      <w:r>
        <w:t xml:space="preserve"> </w:t>
      </w:r>
      <w:r>
        <w:t xml:space="preserve">the highly conductive inner region spreads the incoming heat rapidly through the</w:t>
      </w:r>
      <w:r>
        <w:t xml:space="preserve"> </w:t>
      </w:r>
      <w:r>
        <w:t xml:space="preserve">thickness, so its peak temperature is about a third lower than that of pattern A.</w:t>
      </w:r>
      <w:r>
        <w:t xml:space="preserve"> </w:t>
      </w:r>
      <w:r>
        <w:t xml:space="preserve">Physically, placing the stiff, conductive phase where the temperature gradient is</w:t>
      </w:r>
      <w:r>
        <w:t xml:space="preserve"> </w:t>
      </w:r>
      <w:r>
        <w:t xml:space="preserve">steepest — at the heated inner wall — both moderates the thermal gradient and</w:t>
      </w:r>
      <w:r>
        <w:t xml:space="preserve"> </w:t>
      </w:r>
      <w:r>
        <w:t xml:space="preserve">reinforces the critical hoop-stress region.</w:t>
      </w:r>
    </w:p>
    <w:p>
      <w:pPr>
        <w:pStyle w:val="BodyText"/>
      </w:pPr>
      <w:r>
        <w:t xml:space="preserve">A mirror and inverse behavior emerges between the two asymmetric patterns V and</w:t>
      </w:r>
      <w:r>
        <w:t xml:space="preserve"> </w:t>
      </w:r>
      <w:r>
        <w:t xml:space="preserve">A: geometrically they are mirror images about the mid-thickness (V is GPL-rich at</w:t>
      </w:r>
      <w:r>
        <w:t xml:space="preserve"> </w:t>
      </w:r>
      <w:r>
        <w:t xml:space="preserve">the inner surface, A at the outer surface), and they behave in opposite ways.</w:t>
      </w:r>
      <w:r>
        <w:t xml:space="preserve"> </w:t>
      </w:r>
      <w:r>
        <w:t xml:space="preserve">Pattern V, facing the conductive phase toward the heat source, produces the</w:t>
      </w:r>
      <w:r>
        <w:t xml:space="preserve"> </w:t>
      </w:r>
      <w:r>
        <w:t xml:space="preserve">lowest and mildest peak (0.661), whereas pattern A, by leaving the</w:t>
      </w:r>
      <w:r>
        <w:t xml:space="preserve"> </w:t>
      </w:r>
      <w:r>
        <w:t xml:space="preserve">low-conductivity matrix at the inner surface, traps heat in the inner band and</w:t>
      </w:r>
      <w:r>
        <w:t xml:space="preserve"> </w:t>
      </w:r>
      <w:r>
        <w:t xml:space="preserve">records the highest peak (0.982). The symmetric patterns UD, O and X fall between</w:t>
      </w:r>
      <w:r>
        <w:t xml:space="preserve"> </w:t>
      </w:r>
      <w:r>
        <w:t xml:space="preserve">these extremes, and this mirror ordering explains why V is the best and A the</w:t>
      </w:r>
      <w:r>
        <w:t xml:space="preserve"> </w:t>
      </w:r>
      <w:r>
        <w:t xml:space="preserve">worst.</w:t>
      </w:r>
    </w:p>
    <w:p>
      <w:pPr>
        <w:pStyle w:val="BodyText"/>
      </w:pPr>
      <w:r>
        <w:t xml:space="preserve">The same ordering governs the mechanical response. The final inner-surface hoop</w:t>
      </w:r>
      <w:r>
        <w:t xml:space="preserve"> </w:t>
      </w:r>
      <w:r>
        <w:t xml:space="preserve">stress for pattern V is 0.486, about three times smaller than that of UD (1.526)</w:t>
      </w:r>
      <w:r>
        <w:t xml:space="preserve"> </w:t>
      </w:r>
      <w:r>
        <w:t xml:space="preserve">and roughly five times smaller than that of pattern A (2.403); that is, the two</w:t>
      </w:r>
      <w:r>
        <w:t xml:space="preserve"> </w:t>
      </w:r>
      <w:r>
        <w:t xml:space="preserve">ends of the mirror spectrum record the lowest and the highest hoop stress. The</w:t>
      </w:r>
      <w:r>
        <w:t xml:space="preserve"> </w:t>
      </w:r>
      <w:r>
        <w:t xml:space="preserve">peak radial displacement follows the same trend, ranging from 8.26 for V to 9.08</w:t>
      </w:r>
      <w:r>
        <w:t xml:space="preserve"> </w:t>
      </w:r>
      <w:r>
        <w:t xml:space="preserve">for A. Pattern V therefore simultaneously delivers the lowest temperature, the</w:t>
      </w:r>
      <w:r>
        <w:t xml:space="preserve"> </w:t>
      </w:r>
      <w:r>
        <w:t xml:space="preserve">lowest hoop stress and the smallest displacement, while its mirror pattern A is</w:t>
      </w:r>
      <w:r>
        <w:t xml:space="preserve"> </w:t>
      </w:r>
      <w:r>
        <w:t xml:space="preserve">the worst case in all three; pattern V is recommended for the GPL distribution in</w:t>
      </w:r>
      <w:r>
        <w:t xml:space="preserve"> </w:t>
      </w:r>
      <w:r>
        <w:t xml:space="preserve">cylinders under internal thermal shock.</w:t>
      </w:r>
    </w:p>
    <w:bookmarkEnd w:id="40"/>
    <w:bookmarkStart w:id="47" w:name="X010068c55f76942fb87a50811d0f7ee4b1eb2c3"/>
    <w:p>
      <w:pPr>
        <w:pStyle w:val="Heading2"/>
      </w:pPr>
      <w:r>
        <w:t xml:space="preserve">4-6. Effect of the porosity pattern and porosity level</w:t>
      </w:r>
    </w:p>
    <w:p>
      <w:pPr>
        <w:pStyle w:val="FirstParagraph"/>
      </w:pPr>
      <w:r>
        <w:t xml:space="preserve">This section examines the effect of the porosity distribution pattern across the</w:t>
      </w:r>
      <w:r>
        <w:t xml:space="preserve"> </w:t>
      </w:r>
      <w:r>
        <w:t xml:space="preserve">wall for the five patterns UD, O, X, V and A; the GPL distribution is kept uniform</w:t>
      </w:r>
      <w:r>
        <w:t xml:space="preserve"> </w:t>
      </w:r>
      <w:r>
        <w:t xml:space="preserve">(UD) and the remaining parameters are held at their reference values. Figure 4-3</w:t>
      </w:r>
      <w:r>
        <w:t xml:space="preserve"> </w:t>
      </w:r>
      <w:r>
        <w:t xml:space="preserve">shows the mid-point time histories together with the radial profiles at the final</w:t>
      </w:r>
      <w:r>
        <w:t xml:space="preserve"> </w:t>
      </w:r>
      <w:r>
        <w:t xml:space="preserve">time. The porosity pattern acts by reshaping the heat-conduction path, since a</w:t>
      </w:r>
      <w:r>
        <w:t xml:space="preserve"> </w:t>
      </w:r>
      <w:r>
        <w:t xml:space="preserve">porous band of negligible conductivity behaves as a localized thermal resistance.</w:t>
      </w:r>
      <w:r>
        <w:t xml:space="preserve"> </w:t>
      </w:r>
      <w:r>
        <w:t xml:space="preserve">The three symmetric patterns UD, O and X behave similarly, with mid-point peak</w:t>
      </w:r>
      <w:r>
        <w:t xml:space="preserve"> </w:t>
      </w:r>
      <w:r>
        <w:t xml:space="preserve">temperatures of 0.926, 0.927 and 0.867; in these patterns the porous phase is</w:t>
      </w:r>
      <w:r>
        <w:t xml:space="preserve"> </w:t>
      </w:r>
      <w:r>
        <w:t xml:space="preserve">uniformly spread or symmetric about the mid-thickness and does not render the</w:t>
      </w:r>
      <w:r>
        <w:t xml:space="preserve"> </w:t>
      </w:r>
      <w:r>
        <w:t xml:space="preserve">conduction path fundamentally asymmetric.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orosity distribution pattern (UD, O, X, V, A), GPL kept uniform; pattern A acts as a thermal barrier." title="" id="42" name="Picture"/>
            <a:graphic>
              <a:graphicData uri="http://schemas.openxmlformats.org/drawingml/2006/picture">
                <pic:pic>
                  <pic:nvPicPr>
                    <pic:cNvPr descr="figures_ch4_color/B_porosity_patte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porosity distribution pattern (UD, O, X, V, A), GPL kept uniform; pattern A acts as a thermal barrier.</w:t>
      </w:r>
    </w:p>
    <w:p>
      <w:pPr>
        <w:pStyle w:val="BodyText"/>
      </w:pPr>
      <w:r>
        <w:t xml:space="preserve">The key result lies in the two asymmetric patterns V and A, which are mirror</w:t>
      </w:r>
      <w:r>
        <w:t xml:space="preserve"> </w:t>
      </w:r>
      <w:r>
        <w:t xml:space="preserve">images yet produce completely opposite thermal responses. In pattern V the pores</w:t>
      </w:r>
      <w:r>
        <w:t xml:space="preserve"> </w:t>
      </w:r>
      <w:r>
        <w:t xml:space="preserve">are concentrated at the heated inner surface; this insulating band traps the</w:t>
      </w:r>
      <w:r>
        <w:t xml:space="preserve"> </w:t>
      </w:r>
      <w:r>
        <w:t xml:space="preserve">incoming heat near the inner surface and prevents its rapid spread. As a result</w:t>
      </w:r>
      <w:r>
        <w:t xml:space="preserve"> </w:t>
      </w:r>
      <w:r>
        <w:t xml:space="preserve">the mid-point temperature history displays a pronounced transient peak — the</w:t>
      </w:r>
      <w:r>
        <w:t xml:space="preserve"> </w:t>
      </w:r>
      <w:r>
        <w:t xml:space="preserve">largest overshoot of this group — reaching 1.109 at a Fourier number of 0.79, and</w:t>
      </w:r>
      <w:r>
        <w:t xml:space="preserve"> </w:t>
      </w:r>
      <w:r>
        <w:t xml:space="preserve">then relaxes to 1.002 by the end of the interval. At the opposite extreme, pattern</w:t>
      </w:r>
      <w:r>
        <w:t xml:space="preserve"> </w:t>
      </w:r>
      <w:r>
        <w:t xml:space="preserve">A concentrates the pores at the cooled outer surface: instead of trapping the heat</w:t>
      </w:r>
      <w:r>
        <w:t xml:space="preserve"> </w:t>
      </w:r>
      <w:r>
        <w:t xml:space="preserve">it blocks the heat-exit path toward the environment and thus behaves as a genuine</w:t>
      </w:r>
      <w:r>
        <w:t xml:space="preserve"> </w:t>
      </w:r>
      <w:r>
        <w:rPr>
          <w:b/>
          <w:bCs/>
        </w:rPr>
        <w:t xml:space="preserve">thermal barrier</w:t>
      </w:r>
      <w:r>
        <w:t xml:space="preserve">. In this pattern the outer-surface temperature never exceeds</w:t>
      </w:r>
      <w:r>
        <w:t xml:space="preserve"> </w:t>
      </w:r>
      <w:r>
        <w:t xml:space="preserve">0.107 — about eight times smaller than the value 0.883 of the reference — and the</w:t>
      </w:r>
      <w:r>
        <w:t xml:space="preserve"> </w:t>
      </w:r>
      <w:r>
        <w:t xml:space="preserve">mid-point peak collapses to 0.128.</w:t>
      </w:r>
    </w:p>
    <w:p>
      <w:pPr>
        <w:pStyle w:val="BodyText"/>
      </w:pPr>
      <w:r>
        <w:t xml:space="preserve">The favorable thermal performance of pattern A is paid for on the mechanical</w:t>
      </w:r>
      <w:r>
        <w:t xml:space="preserve"> </w:t>
      </w:r>
      <w:r>
        <w:t xml:space="preserve">side. Because the heat never penetrates deep into the wall, the thermal expansion</w:t>
      </w:r>
      <w:r>
        <w:t xml:space="preserve"> </w:t>
      </w:r>
      <w:r>
        <w:t xml:space="preserve">is suppressed, and the unusual temperature distribution reverses the sign of the</w:t>
      </w:r>
      <w:r>
        <w:t xml:space="preserve"> </w:t>
      </w:r>
      <w:r>
        <w:t xml:space="preserve">inner-surface hoop stress, which reaches a negative (compressive) value of 0.359;</w:t>
      </w:r>
      <w:r>
        <w:t xml:space="preserve"> </w:t>
      </w:r>
      <w:r>
        <w:t xml:space="preserve">that is, the inner region, normally under hoop tension, turns compressive. This</w:t>
      </w:r>
      <w:r>
        <w:t xml:space="preserve"> </w:t>
      </w:r>
      <w:r>
        <w:t xml:space="preserve">sign reversal must be carefully accounted for in the design of cylinders under</w:t>
      </w:r>
      <w:r>
        <w:t xml:space="preserve"> </w:t>
      </w:r>
      <w:r>
        <w:t xml:space="preserve">internal thermal shock.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orosity level e_m3 = 0.9675 / 0.8604 / 0.7776 (light / moderate / heavy)." title="" id="45" name="Picture"/>
            <a:graphic>
              <a:graphicData uri="http://schemas.openxmlformats.org/drawingml/2006/picture">
                <pic:pic>
                  <pic:nvPicPr>
                    <pic:cNvPr descr="figures_ch4_color/E_porosity_leve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porosity level e_m3 = 0.9675 / 0.8604 / 0.7776 (light / moderate / heavy).</w:t>
      </w:r>
    </w:p>
    <w:p>
      <w:pPr>
        <w:pStyle w:val="BodyText"/>
      </w:pPr>
      <w:r>
        <w:t xml:space="preserve">Finally, the effect of the overall porosity level is shown in Figure 4-4 for the</w:t>
      </w:r>
      <w:r>
        <w:t xml:space="preserve"> </w:t>
      </w:r>
      <w:r>
        <w:t xml:space="preserve">three mass coefficients e_m3 = 0.9675, 0.8604 and 0.7776 (light, moderate and</w:t>
      </w:r>
      <w:r>
        <w:t xml:space="preserve"> </w:t>
      </w:r>
      <w:r>
        <w:t xml:space="preserve">heavy porosity). Increasing the porosity lowers the conductivity and the stiffness</w:t>
      </w:r>
      <w:r>
        <w:t xml:space="preserve"> </w:t>
      </w:r>
      <w:r>
        <w:t xml:space="preserve">together; consequently the peak mid-point temperature grows mildly, from 0.905</w:t>
      </w:r>
      <w:r>
        <w:t xml:space="preserve"> </w:t>
      </w:r>
      <w:r>
        <w:t xml:space="preserve">through 0.926 to 0.942, while the peak radial displacement rises more strongly,</w:t>
      </w:r>
      <w:r>
        <w:t xml:space="preserve"> </w:t>
      </w:r>
      <w:r>
        <w:t xml:space="preserve">from 7.87 through 9.10 to 10.37, as the softer wall deforms more under the same</w:t>
      </w:r>
      <w:r>
        <w:t xml:space="preserve"> </w:t>
      </w:r>
      <w:r>
        <w:t xml:space="preserve">loading.</w:t>
      </w:r>
    </w:p>
    <w:bookmarkEnd w:id="47"/>
    <w:bookmarkStart w:id="54" w:name="effect-of-the-gpl-weight-fraction"/>
    <w:p>
      <w:pPr>
        <w:pStyle w:val="Heading2"/>
      </w:pPr>
      <w:r>
        <w:t xml:space="preserve">4-7. Effect of the GPL weight fraction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GPL weight fraction, low range W = 0.1 / 0.3 / 0.5 / 0.9 / 1.5 %." title="" id="49" name="Picture"/>
            <a:graphic>
              <a:graphicData uri="http://schemas.openxmlformats.org/drawingml/2006/picture">
                <pic:pic>
                  <pic:nvPicPr>
                    <pic:cNvPr descr="figures_ch4_color/D_wt_lo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weight fraction, low range W = 0.1 / 0.3 / 0.5 / 0.9 / 1.5 %.</w:t>
      </w:r>
    </w:p>
    <w:p>
      <w:pPr>
        <w:pStyle w:val="BodyText"/>
      </w:pPr>
      <w:r>
        <w:t xml:space="preserve">The percolation character of the thermal-conductivity model (Chapter 3) makes the</w:t>
      </w:r>
      <w:r>
        <w:t xml:space="preserve"> </w:t>
      </w:r>
      <w:r>
        <w:t xml:space="preserve">GPL weight fraction the strongest material lever of the problem. Figure 4-5 scans</w:t>
      </w:r>
      <w:r>
        <w:t xml:space="preserve"> </w:t>
      </w:r>
      <w:r>
        <w:t xml:space="preserve">the low range W = 0.1, 0.3, 0.5, 0.9 and 1.5 %. At the smallest fraction the</w:t>
      </w:r>
      <w:r>
        <w:t xml:space="preserve"> </w:t>
      </w:r>
      <w:r>
        <w:t xml:space="preserve">graphene network is barely percolated: the thermal wave penetrates weakly, the</w:t>
      </w:r>
      <w:r>
        <w:t xml:space="preserve"> </w:t>
      </w:r>
      <w:r>
        <w:t xml:space="preserve">outer-surface temperature reaches only 0.484 and the mid-point peak stays at</w:t>
      </w:r>
      <w:r>
        <w:t xml:space="preserve"> </w:t>
      </w:r>
      <w:r>
        <w:t xml:space="preserve">0.631. As the weight fraction rises, the percolated network raises the effective</w:t>
      </w:r>
      <w:r>
        <w:t xml:space="preserve"> </w:t>
      </w:r>
      <w:r>
        <w:t xml:space="preserve">conductivity and the wall fills with heat: the mid-point peak grows to 0.926,</w:t>
      </w:r>
      <w:r>
        <w:t xml:space="preserve"> </w:t>
      </w:r>
      <w:r>
        <w:t xml:space="preserve">0.991, 1.061 and 1.115, and the outer-surface temperature climbs to essentially</w:t>
      </w:r>
      <w:r>
        <w:t xml:space="preserve"> </w:t>
      </w:r>
      <w:r>
        <w:t xml:space="preserve">unity (full through-wall penetration) by W = 0.9 %. Because the added graphene</w:t>
      </w:r>
      <w:r>
        <w:t xml:space="preserve"> </w:t>
      </w:r>
      <w:r>
        <w:t xml:space="preserve">also stiffens the wall, the peak radial displacement falls in the opposite</w:t>
      </w:r>
      <w:r>
        <w:t xml:space="preserve"> </w:t>
      </w:r>
      <w:r>
        <w:t xml:space="preserve">direction, from 10.60 at W = 0.1 % to 6.06 at W = 1.5 %.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GPL weight fraction, high range W = 1 / 2 / 4 / 8 %; the thermal gain saturates while the stresses grow." title="" id="52" name="Picture"/>
            <a:graphic>
              <a:graphicData uri="http://schemas.openxmlformats.org/drawingml/2006/picture">
                <pic:pic>
                  <pic:nvPicPr>
                    <pic:cNvPr descr="figures_ch4_color/D2_wt_hig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GPL weight fraction, high range W = 1 / 2 / 4 / 8 %; the thermal gain saturates while the stresses grow.</w:t>
      </w:r>
    </w:p>
    <w:p>
      <w:pPr>
        <w:pStyle w:val="BodyText"/>
      </w:pPr>
      <w:r>
        <w:t xml:space="preserve">The higher range W = 1, 2, 4 and 8 % is shown in Figure 4-6. Here the thermal</w:t>
      </w:r>
      <w:r>
        <w:t xml:space="preserve"> </w:t>
      </w:r>
      <w:r>
        <w:t xml:space="preserve">response saturates — the mid-point peak rises only gradually from 1.072 to 1.261</w:t>
      </w:r>
      <w:r>
        <w:t xml:space="preserve"> </w:t>
      </w:r>
      <w:r>
        <w:t xml:space="preserve">— but the mechanical penalty grows sharply: the peak hoop stress more than</w:t>
      </w:r>
      <w:r>
        <w:t xml:space="preserve"> </w:t>
      </w:r>
      <w:r>
        <w:t xml:space="preserve">doubles, from 2.45 to 5.71, and the inner-surface hoop stress falls and reverses</w:t>
      </w:r>
      <w:r>
        <w:t xml:space="preserve"> </w:t>
      </w:r>
      <w:r>
        <w:t xml:space="preserve">sign, from 1.474 at 1 % to −1.580 at 8 %, as the stiff, highly loaded inner band</w:t>
      </w:r>
      <w:r>
        <w:t xml:space="preserve"> </w:t>
      </w:r>
      <w:r>
        <w:t xml:space="preserve">is driven into compression. The practical conclusion is that a small weight</w:t>
      </w:r>
      <w:r>
        <w:t xml:space="preserve"> </w:t>
      </w:r>
      <w:r>
        <w:t xml:space="preserve">fraction suffices to switch the wall from a poor to a good thermal conductor,</w:t>
      </w:r>
      <w:r>
        <w:t xml:space="preserve"> </w:t>
      </w:r>
      <w:r>
        <w:t xml:space="preserve">whereas adding graphene beyond that yields only a mild thermal improvement while</w:t>
      </w:r>
      <w:r>
        <w:t xml:space="preserve"> </w:t>
      </w:r>
      <w:r>
        <w:t xml:space="preserve">mainly raising the thermal stresses. Most previous works examined the range 0.1</w:t>
      </w:r>
      <w:r>
        <w:t xml:space="preserve"> </w:t>
      </w:r>
      <w:r>
        <w:t xml:space="preserve">to 2 %; here the range is extended to 8 % to expose the saturation of the thermal</w:t>
      </w:r>
      <w:r>
        <w:t xml:space="preserve"> </w:t>
      </w:r>
      <w:r>
        <w:t xml:space="preserve">gain and the growth of the stresses.</w:t>
      </w:r>
    </w:p>
    <w:bookmarkEnd w:id="54"/>
    <w:bookmarkStart w:id="61" w:name="effect-of-the-gpl-aspect-ratios"/>
    <w:p>
      <w:pPr>
        <w:pStyle w:val="Heading2"/>
      </w:pPr>
      <w:r>
        <w:t xml:space="preserve">4-8. Effect of the GPL aspect ratios</w:t>
      </w:r>
    </w:p>
    <w:p>
      <w:pPr>
        <w:pStyle w:val="FirstParagraph"/>
      </w:pPr>
      <w:r>
        <w:t xml:space="preserve">The Halpin–Tsai model of Chapter 3 makes the reinforced properties depend not</w:t>
      </w:r>
      <w:r>
        <w:t xml:space="preserve"> </w:t>
      </w:r>
      <w:r>
        <w:t xml:space="preserve">only on the volume fraction but also on the platelet geometry, described by two</w:t>
      </w:r>
      <w:r>
        <w:t xml:space="preserve"> </w:t>
      </w:r>
      <w:r>
        <w:t xml:space="preserve">independent aspect ratios: the length-to-width ratio a/b, entering through the</w:t>
      </w:r>
      <w:r>
        <w:t xml:space="preserve"> </w:t>
      </w:r>
      <w:r>
        <w:t xml:space="preserve">characteristic length a_GPL, and the width-to-thickness ratio b/t, entering</w:t>
      </w:r>
      <w:r>
        <w:t xml:space="preserve"> </w:t>
      </w:r>
      <w:r>
        <w:t xml:space="preserve">through the characteristic thickness t_GPL. Each is examined separately with all</w:t>
      </w:r>
      <w:r>
        <w:t xml:space="preserve"> </w:t>
      </w:r>
      <w:r>
        <w:t xml:space="preserve">other parameters at their reference values.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Effect of the platelet length-to-width aspect ratio a/b = 1.0 / 1.67 / 2.67." title="" id="56" name="Picture"/>
            <a:graphic>
              <a:graphicData uri="http://schemas.openxmlformats.org/drawingml/2006/picture">
                <pic:pic>
                  <pic:nvPicPr>
                    <pic:cNvPr descr="figures_ch4_color/O_aspect_ab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platelet length-to-width aspect ratio a/b = 1.0 / 1.67 / 2.67.</w:t>
      </w:r>
    </w:p>
    <w:p>
      <w:pPr>
        <w:pStyle w:val="BodyText"/>
      </w:pPr>
      <w:r>
        <w:t xml:space="preserve">The effect of the length-to-width ratio is shown in Figure 4-7. As a/b increases</w:t>
      </w:r>
      <w:r>
        <w:t xml:space="preserve"> </w:t>
      </w:r>
      <w:r>
        <w:t xml:space="preserve">from 1.0 to 1.67 (reference) and then to 2.67, the peak mid-point temperature</w:t>
      </w:r>
      <w:r>
        <w:t xml:space="preserve"> </w:t>
      </w:r>
      <w:r>
        <w:t xml:space="preserve">rises only from 0.898 to 0.926 and 0.939, and the inner-surface hoop stress from</w:t>
      </w:r>
      <w:r>
        <w:t xml:space="preserve"> </w:t>
      </w:r>
      <w:r>
        <w:t xml:space="preserve">1.453 to 1.526 and 1.556 — changes of a few percent.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platelet width-to-thickness aspect ratio b/t = 500 / 1000 / 2000." title="" id="59" name="Picture"/>
            <a:graphic>
              <a:graphicData uri="http://schemas.openxmlformats.org/drawingml/2006/picture">
                <pic:pic>
                  <pic:nvPicPr>
                    <pic:cNvPr descr="figures_ch4_color/P_aspect_b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platelet width-to-thickness aspect ratio b/t = 500 / 1000 / 2000.</w:t>
      </w:r>
    </w:p>
    <w:p>
      <w:pPr>
        <w:pStyle w:val="BodyText"/>
      </w:pPr>
      <w:r>
        <w:t xml:space="preserve">The width-to-thickness ratio (Figure 4-8) is even weaker at this reference: as b/t</w:t>
      </w:r>
      <w:r>
        <w:t xml:space="preserve"> </w:t>
      </w:r>
      <w:r>
        <w:t xml:space="preserve">increases from 500 to 1000 and 2000, the peak temperature is essentially constant</w:t>
      </w:r>
      <w:r>
        <w:t xml:space="preserve"> </w:t>
      </w:r>
      <w:r>
        <w:t xml:space="preserve">(0.926, 0.926, 0.925) and the inner-surface hoop stress changes only from 1.542</w:t>
      </w:r>
      <w:r>
        <w:t xml:space="preserve"> </w:t>
      </w:r>
      <w:r>
        <w:t xml:space="preserve">to 1.516. At the low reference weight fraction of 0.3 % the reinforcement is too</w:t>
      </w:r>
      <w:r>
        <w:t xml:space="preserve"> </w:t>
      </w:r>
      <w:r>
        <w:t xml:space="preserve">dilute for platelet geometry to matter; both aspect ratios are therefore</w:t>
      </w:r>
      <w:r>
        <w:t xml:space="preserve"> </w:t>
      </w:r>
      <w:r>
        <w:t xml:space="preserve">second-order levers here, in contrast to the high-weight-fraction regime where the</w:t>
      </w:r>
      <w:r>
        <w:t xml:space="preserve"> </w:t>
      </w:r>
      <w:r>
        <w:t xml:space="preserve">width-to-thickness ratio dominates. This distinction is itself a useful design</w:t>
      </w:r>
      <w:r>
        <w:t xml:space="preserve"> </w:t>
      </w:r>
      <w:r>
        <w:t xml:space="preserve">observation: platelet shape becomes a meaningful lever only once the weight</w:t>
      </w:r>
      <w:r>
        <w:t xml:space="preserve"> </w:t>
      </w:r>
      <w:r>
        <w:t xml:space="preserve">fraction is large enough for the reinforcement to control the effective</w:t>
      </w:r>
      <w:r>
        <w:t xml:space="preserve"> </w:t>
      </w:r>
      <w:r>
        <w:t xml:space="preserve">properties.</w:t>
      </w:r>
    </w:p>
    <w:bookmarkEnd w:id="61"/>
    <w:bookmarkStart w:id="65" w:name="Xa0a4f2ec79457097fc13ef5bb4a7f53f3d50b31"/>
    <w:p>
      <w:pPr>
        <w:pStyle w:val="Heading2"/>
      </w:pPr>
      <w:r>
        <w:t xml:space="preserve">4-9. Effect of the relaxation time; Lord-Shulman versus Fourier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relaxation time: Fourier (tau=0) and Lord-Shulman tau = 0.04 / 0.15 / 0.44 / 0.87; overshoot grows with tau*." title="" id="63" name="Picture"/>
            <a:graphic>
              <a:graphicData uri="http://schemas.openxmlformats.org/drawingml/2006/picture">
                <pic:pic>
                  <pic:nvPicPr>
                    <pic:cNvPr descr="figures_ch4_color/C_relaxa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relaxation time: Fourier (tau</w:t>
      </w:r>
      <w:r>
        <w:rPr>
          <w:i/>
          <w:iCs/>
        </w:rPr>
        <w:t xml:space="preserve">=0) and Lord-Shulman tau</w:t>
      </w:r>
      <w:r>
        <w:t xml:space="preserve"> </w:t>
      </w:r>
      <w:r>
        <w:t xml:space="preserve">= 0.04 / 0.15 / 0.44 / 0.87; overshoot grows with tau*.</w:t>
      </w:r>
    </w:p>
    <w:p>
      <w:pPr>
        <w:pStyle w:val="BodyText"/>
      </w:pPr>
      <w:r>
        <w:t xml:space="preserve">Figure 4-9 compares Fourier conduction (τ* = 0) with four dimensionless</w:t>
      </w:r>
      <w:r>
        <w:t xml:space="preserve"> </w:t>
      </w:r>
      <w:r>
        <w:t xml:space="preserve">relaxation times τ* = 0.04, 0.15, 0.44 and 0.87. Under Fourier conduction the</w:t>
      </w:r>
      <w:r>
        <w:t xml:space="preserve"> </w:t>
      </w:r>
      <w:r>
        <w:t xml:space="preserve">mid-point temperature increases monotonically and never exceeds the driving value</w:t>
      </w:r>
      <w:r>
        <w:t xml:space="preserve"> </w:t>
      </w:r>
      <w:r>
        <w:t xml:space="preserve">(peak 0.950), since classical diffusion, with its unbounded propagation speed,</w:t>
      </w:r>
      <w:r>
        <w:t xml:space="preserve"> </w:t>
      </w:r>
      <w:r>
        <w:t xml:space="preserve">cannot produce an overshoot. With the relaxation time active in the Lord-Shulman</w:t>
      </w:r>
      <w:r>
        <w:t xml:space="preserve"> </w:t>
      </w:r>
      <w:r>
        <w:t xml:space="preserve">theory the heat propagates as a wave of finite speed √(α̂/τ0): the peak grows to</w:t>
      </w:r>
      <w:r>
        <w:t xml:space="preserve"> </w:t>
      </w:r>
      <w:r>
        <w:t xml:space="preserve">0.953, 0.962, 1.166 and 1.271 as τ* increases, and for the two larger values the</w:t>
      </w:r>
      <w:r>
        <w:t xml:space="preserve"> </w:t>
      </w:r>
      <w:r>
        <w:t xml:space="preserve">temperature</w:t>
      </w:r>
      <w:r>
        <w:t xml:space="preserve"> </w:t>
      </w:r>
      <w:r>
        <w:rPr>
          <w:b/>
          <w:bCs/>
        </w:rPr>
        <w:t xml:space="preserve">overshoots</w:t>
      </w:r>
      <w:r>
        <w:t xml:space="preserve"> </w:t>
      </w:r>
      <w:r>
        <w:t xml:space="preserve">even the inner-surface value — reaching 1.271 at</w:t>
      </w:r>
      <w:r>
        <w:t xml:space="preserve"> </w:t>
      </w:r>
      <w:r>
        <w:t xml:space="preserve">τ* = 0.87 — a purely hyperbolic phenomenon impossible in the parabolic Fourier</w:t>
      </w:r>
      <w:r>
        <w:t xml:space="preserve"> </w:t>
      </w:r>
      <w:r>
        <w:t xml:space="preserve">theory. At the mild reference value τ* = 0.15 the overshoot is still small (0.962),</w:t>
      </w:r>
      <w:r>
        <w:t xml:space="preserve"> </w:t>
      </w:r>
      <w:r>
        <w:t xml:space="preserve">which is why the reference histories of the other studies show only a gentle peak;</w:t>
      </w:r>
      <w:r>
        <w:t xml:space="preserve"> </w:t>
      </w:r>
      <w:r>
        <w:t xml:space="preserve">the wave signature becomes dominant only as the relaxation time is increased. The</w:t>
      </w:r>
      <w:r>
        <w:t xml:space="preserve"> </w:t>
      </w:r>
      <w:r>
        <w:t xml:space="preserve">relaxation time thus controls both the wave arrival and the overshoot amplitude,</w:t>
      </w:r>
      <w:r>
        <w:t xml:space="preserve"> </w:t>
      </w:r>
      <w:r>
        <w:t xml:space="preserve">and its clear signature in the temperature histories is the central argument for</w:t>
      </w:r>
      <w:r>
        <w:t xml:space="preserve"> </w:t>
      </w:r>
      <w:r>
        <w:t xml:space="preserve">employing generalized thermoelasticity in short-time analyses [3].</w:t>
      </w:r>
    </w:p>
    <w:bookmarkEnd w:id="65"/>
    <w:bookmarkStart w:id="69" w:name="effect-of-the-end-supports"/>
    <w:p>
      <w:pPr>
        <w:pStyle w:val="Heading2"/>
      </w:pPr>
      <w:r>
        <w:t xml:space="preserve">4-10. Effect of the end supports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end supports: simply supported (S-S), mixed (S-C) and clamped (C-C)." title="" id="67" name="Picture"/>
            <a:graphic>
              <a:graphicData uri="http://schemas.openxmlformats.org/drawingml/2006/picture">
                <pic:pic>
                  <pic:nvPicPr>
                    <pic:cNvPr descr="figures_ch4_color/F_end_BC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end supports: simply supported (S-S), mixed (S-C) and clamped (C-C).</w:t>
      </w:r>
    </w:p>
    <w:p>
      <w:pPr>
        <w:pStyle w:val="BodyText"/>
      </w:pPr>
      <w:r>
        <w:t xml:space="preserve">The effect of the end supports is examined for three cases: simply supported at</w:t>
      </w:r>
      <w:r>
        <w:t xml:space="preserve"> </w:t>
      </w:r>
      <w:r>
        <w:t xml:space="preserve">both ends (S-S), one end simply supported and the other clamped (S-C), and clamped</w:t>
      </w:r>
      <w:r>
        <w:t xml:space="preserve"> </w:t>
      </w:r>
      <w:r>
        <w:t xml:space="preserve">at both ends (C-C). As shown in Figure 4-10, the temperature field is nearly</w:t>
      </w:r>
      <w:r>
        <w:t xml:space="preserve"> </w:t>
      </w:r>
      <w:r>
        <w:t xml:space="preserve">independent of the support type, the peak mid-point temperature staying in the</w:t>
      </w:r>
      <w:r>
        <w:t xml:space="preserve"> </w:t>
      </w:r>
      <w:r>
        <w:t xml:space="preserve">narrow band 0.926 to 0.929, since the mechanical support does not directly alter</w:t>
      </w:r>
      <w:r>
        <w:t xml:space="preserve"> </w:t>
      </w:r>
      <w:r>
        <w:t xml:space="preserve">the thermal problem.</w:t>
      </w:r>
    </w:p>
    <w:p>
      <w:pPr>
        <w:pStyle w:val="BodyText"/>
      </w:pPr>
      <w:r>
        <w:t xml:space="preserve">The mechanical response depends strongly on the support. Clamping the ends adds an</w:t>
      </w:r>
      <w:r>
        <w:t xml:space="preserve"> </w:t>
      </w:r>
      <w:r>
        <w:t xml:space="preserve">axial constraint that reduces the mid-length hoop tension: the dimensionless</w:t>
      </w:r>
      <w:r>
        <w:t xml:space="preserve"> </w:t>
      </w:r>
      <w:r>
        <w:t xml:space="preserve">inner-surface hoop stress falls from 1.526 for S-S through 1.068 for the mixed</w:t>
      </w:r>
      <w:r>
        <w:t xml:space="preserve"> </w:t>
      </w:r>
      <w:r>
        <w:t xml:space="preserve">S-C case to 0.424 for C-C, and the peak hoop stress from 2.112 to 1.803 and 1.535.</w:t>
      </w:r>
      <w:r>
        <w:t xml:space="preserve"> </w:t>
      </w:r>
      <w:r>
        <w:t xml:space="preserve">The mixed case lies correctly between the two limiting cases in every quantity,</w:t>
      </w:r>
      <w:r>
        <w:t xml:space="preserve"> </w:t>
      </w:r>
      <w:r>
        <w:t xml:space="preserve">confirming the expected intermediate behavior. The peak radial displacement is</w:t>
      </w:r>
      <w:r>
        <w:t xml:space="preserve"> </w:t>
      </w:r>
      <w:r>
        <w:t xml:space="preserve">less sensitive, changing only from 9.10 (S-S) to 8.27 (C-C), because at the</w:t>
      </w:r>
      <w:r>
        <w:t xml:space="preserve"> </w:t>
      </w:r>
      <w:r>
        <w:t xml:space="preserve">mid-length section of this relatively long cylinder the end constraints are</w:t>
      </w:r>
      <w:r>
        <w:t xml:space="preserve"> </w:t>
      </w:r>
      <w:r>
        <w:t xml:space="preserve">partly screened; the disturbances caused by either support decay within roughly</w:t>
      </w:r>
      <w:r>
        <w:t xml:space="preserve"> </w:t>
      </w:r>
      <w:r>
        <w:t xml:space="preserve">one wall thickness of the ends, which justifies reporting mid-length quantities as</w:t>
      </w:r>
      <w:r>
        <w:t xml:space="preserve"> </w:t>
      </w:r>
      <w:r>
        <w:t xml:space="preserve">the characteristic response of the structure.</w:t>
      </w:r>
    </w:p>
    <w:bookmarkEnd w:id="69"/>
    <w:bookmarkStart w:id="73" w:name="effect-of-the-internal-pressure"/>
    <w:p>
      <w:pPr>
        <w:pStyle w:val="Heading2"/>
      </w:pPr>
      <w:r>
        <w:t xml:space="preserve">4-11. Effect of the internal pressure</w:t>
      </w:r>
    </w:p>
    <w:p>
      <w:pPr>
        <w:pStyle w:val="FirstParagraph"/>
      </w:pPr>
      <w:r>
        <w:t xml:space="preserve">The effect of the internal pressure is examined with a sweep at 0, 10, 50</w:t>
      </w:r>
      <w:r>
        <w:t xml:space="preserve"> </w:t>
      </w:r>
      <w:r>
        <w:t xml:space="preserve">(reference) and 100 MPa, covering low to very high pressures. As shown in Figure</w:t>
      </w:r>
      <w:r>
        <w:t xml:space="preserve"> </w:t>
      </w:r>
      <w:r>
        <w:t xml:space="preserve">4-11, the temperature field is practically independent of the internal pressure,</w:t>
      </w:r>
      <w:r>
        <w:t xml:space="preserve"> </w:t>
      </w:r>
      <w:r>
        <w:t xml:space="preserve">because thermal and mechanical loading are linked only through the weak coupling</w:t>
      </w:r>
      <w:r>
        <w:t xml:space="preserve"> </w:t>
      </w:r>
      <w:r>
        <w:t xml:space="preserve">term of the energy equation, and pressure is not a direct driver of temperature.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internal pressure P_i = 0 / 10 / 50 / 100 MPa; the mechanical response grows linearly." title="" id="71" name="Picture"/>
            <a:graphic>
              <a:graphicData uri="http://schemas.openxmlformats.org/drawingml/2006/picture">
                <pic:pic>
                  <pic:nvPicPr>
                    <pic:cNvPr descr="figures_ch4_color/G_pressure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internal pressure P_i = 0 / 10 / 50 / 100 MPa; the mechanical response grows linearly.</w:t>
      </w:r>
    </w:p>
    <w:p>
      <w:pPr>
        <w:pStyle w:val="BodyText"/>
      </w:pPr>
      <w:r>
        <w:t xml:space="preserve">By contrast, the mechanical response grows linearly with pressure. The</w:t>
      </w:r>
      <w:r>
        <w:t xml:space="preserve"> </w:t>
      </w:r>
      <w:r>
        <w:t xml:space="preserve">inner-surface hoop stress rises from −0.387 with no pressure (a purely thermal,</w:t>
      </w:r>
      <w:r>
        <w:t xml:space="preserve"> </w:t>
      </w:r>
      <w:r>
        <w:t xml:space="preserve">mildly compressive state) through −0.004 and 1.526 to 3.439 at 100 MPa, an</w:t>
      </w:r>
      <w:r>
        <w:t xml:space="preserve"> </w:t>
      </w:r>
      <w:r>
        <w:t xml:space="preserve">increment of about 0.0383 per megapascal; and the peak radial displacement rises</w:t>
      </w:r>
      <w:r>
        <w:t xml:space="preserve"> </w:t>
      </w:r>
      <w:r>
        <w:t xml:space="preserve">from 3.75 through 4.82 and 9.10 to 14.44, an increment of about 0.107 per</w:t>
      </w:r>
      <w:r>
        <w:t xml:space="preserve"> </w:t>
      </w:r>
      <w:r>
        <w:t xml:space="preserve">megapascal. This perfect linearity reflects the linear nature of the thermoelastic</w:t>
      </w:r>
      <w:r>
        <w:t xml:space="preserve"> </w:t>
      </w:r>
      <w:r>
        <w:t xml:space="preserve">model, and even at 100 MPa the solution remains smooth and convergent, with no</w:t>
      </w:r>
      <w:r>
        <w:t xml:space="preserve"> </w:t>
      </w:r>
      <w:r>
        <w:t xml:space="preserve">discontinuity, because physical rupture (material failure or separation) is not</w:t>
      </w:r>
      <w:r>
        <w:t xml:space="preserve"> </w:t>
      </w:r>
      <w:r>
        <w:t xml:space="preserve">included in the present linear model; assessing that would require a damage or</w:t>
      </w:r>
      <w:r>
        <w:t xml:space="preserve"> </w:t>
      </w:r>
      <w:r>
        <w:t xml:space="preserve">failure model. Unlike the near-negligible megapascal-level pressures of much of</w:t>
      </w:r>
      <w:r>
        <w:t xml:space="preserve"> </w:t>
      </w:r>
      <w:r>
        <w:t xml:space="preserve">the literature, at the 50 MPa reference the pressure is a genuine first-order</w:t>
      </w:r>
      <w:r>
        <w:t xml:space="preserve"> </w:t>
      </w:r>
      <w:r>
        <w:t xml:space="preserve">contributor to the stress and displacement, while the temperature field remains</w:t>
      </w:r>
      <w:r>
        <w:t xml:space="preserve"> </w:t>
      </w:r>
      <w:r>
        <w:t xml:space="preserve">thermally governed. The dimensionless radial-stress profile runs from the negative</w:t>
      </w:r>
      <w:r>
        <w:t xml:space="preserve"> </w:t>
      </w:r>
      <w:r>
        <w:t xml:space="preserve">of the applied pressure at the inner surface to zero at the outer surface,</w:t>
      </w:r>
      <w:r>
        <w:t xml:space="preserve"> </w:t>
      </w:r>
      <w:r>
        <w:t xml:space="preserve">consistent with the loading boundary condition.</w:t>
      </w:r>
    </w:p>
    <w:bookmarkEnd w:id="73"/>
    <w:bookmarkStart w:id="77" w:name="X85283b7d337430b612aa9d28b66a5c2b37b0441"/>
    <w:p>
      <w:pPr>
        <w:pStyle w:val="Heading2"/>
      </w:pPr>
      <w:r>
        <w:t xml:space="preserve">4-12. Effect of the cylinder length and the long-cylinder limit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cylinder length l = 1 / 2.1 / 5 / 10 m and the approach to the long-cylinder limit." title="" id="75" name="Picture"/>
            <a:graphic>
              <a:graphicData uri="http://schemas.openxmlformats.org/drawingml/2006/picture">
                <pic:pic>
                  <pic:nvPicPr>
                    <pic:cNvPr descr="figures_ch4_color/Q_length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cylinder length l = 1 / 2.1 / 5 / 10 m and the approach to the long-cylinder limit.</w:t>
      </w:r>
    </w:p>
    <w:p>
      <w:pPr>
        <w:pStyle w:val="BodyText"/>
      </w:pPr>
      <w:r>
        <w:t xml:space="preserve">To examine the limiting behavior of a long cylinder, the length is increased from</w:t>
      </w:r>
      <w:r>
        <w:t xml:space="preserve"> </w:t>
      </w:r>
      <w:r>
        <w:t xml:space="preserve">1 m through the reference 2.1 m to 5 and 10 m. As shown in Figure 4-12, the peak</w:t>
      </w:r>
      <w:r>
        <w:t xml:space="preserve"> </w:t>
      </w:r>
      <w:r>
        <w:t xml:space="preserve">mid-point temperature is length-independent, remaining at 0.926 to 0.927. The</w:t>
      </w:r>
      <w:r>
        <w:t xml:space="preserve"> </w:t>
      </w:r>
      <w:r>
        <w:t xml:space="preserve">mechanical response, however, tends to a limit as the length grows. The very short</w:t>
      </w:r>
      <w:r>
        <w:t xml:space="preserve"> </w:t>
      </w:r>
      <w:r>
        <w:t xml:space="preserve">cylinder (l = 1 m) is dominated by its two close end supports: its mid-length</w:t>
      </w:r>
      <w:r>
        <w:t xml:space="preserve"> </w:t>
      </w:r>
      <w:r>
        <w:t xml:space="preserve">inner-surface hoop stress is compressive (−1.477) and its displacement is small</w:t>
      </w:r>
      <w:r>
        <w:t xml:space="preserve"> </w:t>
      </w:r>
      <w:r>
        <w:t xml:space="preserve">(3.42). As the length increases the mid-length section moves away from the end</w:t>
      </w:r>
      <w:r>
        <w:t xml:space="preserve"> </w:t>
      </w:r>
      <w:r>
        <w:t xml:space="preserve">constraints, the inner hoop stress becomes tensile and approaches an asymptote of</w:t>
      </w:r>
      <w:r>
        <w:t xml:space="preserve"> </w:t>
      </w:r>
      <w:r>
        <w:t xml:space="preserve">about 2.0 to 2.1 (1.526, 2.139 and 2.031 for 2.1, 5 and 10 m), and the peak</w:t>
      </w:r>
      <w:r>
        <w:t xml:space="preserve"> </w:t>
      </w:r>
      <w:r>
        <w:t xml:space="preserve">displacement settles toward about 8.4 (9.10, 8.57 and 8.37). The mid-length</w:t>
      </w:r>
      <w:r>
        <w:t xml:space="preserve"> </w:t>
      </w:r>
      <w:r>
        <w:t xml:space="preserve">response thus converges to the infinite-length (plane-strain-like) limit in which</w:t>
      </w:r>
      <w:r>
        <w:t xml:space="preserve"> </w:t>
      </w:r>
      <w:r>
        <w:t xml:space="preserve">the mechanical effects of the two ends are not felt.</w:t>
      </w:r>
    </w:p>
    <w:bookmarkEnd w:id="77"/>
    <w:bookmarkStart w:id="84" w:name="X81eac57fafad65e87a08e7444e513955d528acd"/>
    <w:p>
      <w:pPr>
        <w:pStyle w:val="Heading2"/>
      </w:pPr>
      <w:r>
        <w:t xml:space="preserve">4-13. Interaction of the GPL and porosity distribution patterns</w:t>
      </w:r>
    </w:p>
    <w:p>
      <w:pPr>
        <w:pStyle w:val="FirstParagraph"/>
      </w:pPr>
      <w:r>
        <w:t xml:space="preserve">The individual studies showed pattern V for the GPLs and pattern A for the</w:t>
      </w:r>
      <w:r>
        <w:t xml:space="preserve"> </w:t>
      </w:r>
      <w:r>
        <w:t xml:space="preserve">porosity to be the most favorable thermally. This section examines the full</w:t>
      </w:r>
      <w:r>
        <w:t xml:space="preserve"> </w:t>
      </w:r>
      <w:r>
        <w:t xml:space="preserve">interaction by computing all twenty-five combinations of the five GPL patterns</w:t>
      </w:r>
      <w:r>
        <w:t xml:space="preserve"> </w:t>
      </w:r>
      <w:r>
        <w:t xml:space="preserve">with the five porosity patterns, each combination labeled (for example X-GPL +</w:t>
      </w:r>
      <w:r>
        <w:t xml:space="preserve"> </w:t>
      </w:r>
      <w:r>
        <w:t xml:space="preserve">V-Por). The dimensionless outer-surface temperature and the hoop-stress profile</w:t>
      </w:r>
      <w:r>
        <w:t xml:space="preserve"> </w:t>
      </w:r>
      <w:r>
        <w:t xml:space="preserve">of every combination are shown as a 5×5 matrix in Figure 4-13.</w:t>
      </w:r>
    </w:p>
    <w:p>
      <w:pPr>
        <w:pStyle w:val="CaptionedFigure"/>
      </w:pPr>
      <w:r>
        <w:drawing>
          <wp:inline>
            <wp:extent cx="5334000" cy="2695073"/>
            <wp:effectExtent b="0" l="0" r="0" t="0"/>
            <wp:docPr descr="Full 25-case GPL x porosity matrix: through-wall dimensionless temperature T*(xi) for every pattern pair; porosity A is a universal thermal barrier." title="" id="79" name="Picture"/>
            <a:graphic>
              <a:graphicData uri="http://schemas.openxmlformats.org/drawingml/2006/picture">
                <pic:pic>
                  <pic:nvPicPr>
                    <pic:cNvPr descr="figures_ch4_color/matrix25_Tsta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25-case GPL x porosity matrix: through-wall dimensionless temperature T*(xi) for every pattern pair; porosity A is a universal thermal barrier.</w:t>
      </w:r>
    </w:p>
    <w:p>
      <w:pPr>
        <w:pStyle w:val="BodyText"/>
      </w:pPr>
      <w:r>
        <w:t xml:space="preserve">The first key observation is that the porosity pattern A acts as a</w:t>
      </w:r>
      <w:r>
        <w:t xml:space="preserve"> </w:t>
      </w:r>
      <w:r>
        <w:rPr>
          <w:b/>
          <w:bCs/>
        </w:rPr>
        <w:t xml:space="preserve">universal</w:t>
      </w:r>
      <w:r>
        <w:rPr>
          <w:b/>
          <w:bCs/>
        </w:rPr>
        <w:t xml:space="preserve"> </w:t>
      </w:r>
      <w:r>
        <w:rPr>
          <w:b/>
          <w:bCs/>
        </w:rPr>
        <w:t xml:space="preserve">thermal barrier</w:t>
      </w:r>
      <w:r>
        <w:t xml:space="preserve">: regardless of the GPL pattern, concentrating the pores at the</w:t>
      </w:r>
      <w:r>
        <w:t xml:space="preserve"> </w:t>
      </w:r>
      <w:r>
        <w:t xml:space="preserve">outer surface gives the lowest outer-surface temperature, the values along that</w:t>
      </w:r>
      <w:r>
        <w:t xml:space="preserve"> </w:t>
      </w:r>
      <w:r>
        <w:t xml:space="preserve">column being 0.107, 0.064, 0.116, 0.034 and 0.134. The best combination of all,</w:t>
      </w:r>
      <w:r>
        <w:t xml:space="preserve"> </w:t>
      </w:r>
      <w:r>
        <w:t xml:space="preserve">GPL-V together with porosity-A, holds the outer-surface temperature at 0.034 — a</w:t>
      </w:r>
      <w:r>
        <w:t xml:space="preserve"> </w:t>
      </w:r>
      <w:r>
        <w:t xml:space="preserve">roughly twenty-six-fold reduction with respect to the reference (0.883) — while</w:t>
      </w:r>
      <w:r>
        <w:t xml:space="preserve"> </w:t>
      </w:r>
      <w:r>
        <w:t xml:space="preserve">its stress state remains benign (the inner hoop stress is a small compressive</w:t>
      </w:r>
      <w:r>
        <w:t xml:space="preserve"> </w:t>
      </w:r>
      <w:r>
        <w:t xml:space="preserve">−0.378). This confirms the design recommendation of the thesis for thermal</w:t>
      </w:r>
      <w:r>
        <w:t xml:space="preserve"> </w:t>
      </w:r>
      <w:r>
        <w:t xml:space="preserve">protection.</w:t>
      </w:r>
    </w:p>
    <w:p>
      <w:pPr>
        <w:pStyle w:val="CaptionedFigure"/>
      </w:pPr>
      <w:r>
        <w:drawing>
          <wp:inline>
            <wp:extent cx="5334000" cy="3982720"/>
            <wp:effectExtent b="0" l="0" r="0" t="0"/>
            <wp:docPr descr="Full 25-case GPL x porosity matrix: hoop-stress profile Sigma_thth(xi) for every pattern pair." title="" id="82" name="Picture"/>
            <a:graphic>
              <a:graphicData uri="http://schemas.openxmlformats.org/drawingml/2006/picture">
                <pic:pic>
                  <pic:nvPicPr>
                    <pic:cNvPr descr="figures_ch4_color/matrix25_Sigma_thth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25-case GPL x porosity matrix: hoop-stress profile Sigma_thth(xi) for every pattern pair.</w:t>
      </w:r>
    </w:p>
    <w:p>
      <w:pPr>
        <w:pStyle w:val="BodyText"/>
      </w:pPr>
      <w:r>
        <w:t xml:space="preserve">The second observation is the mirror-pattern interaction. Patterns V and A are</w:t>
      </w:r>
      <w:r>
        <w:t xml:space="preserve"> </w:t>
      </w:r>
      <w:r>
        <w:t xml:space="preserve">geometric mirror images (inner-surface versus outer-surface concentration). When</w:t>
      </w:r>
      <w:r>
        <w:t xml:space="preserve"> </w:t>
      </w:r>
      <w:r>
        <w:t xml:space="preserve">GPL-V (conductive at the inner surface) is combined with porosity-A (insulating at</w:t>
      </w:r>
      <w:r>
        <w:t xml:space="preserve"> </w:t>
      </w:r>
      <w:r>
        <w:t xml:space="preserve">the outer surface) the two mechanisms act synergetically and the outer-surface</w:t>
      </w:r>
      <w:r>
        <w:t xml:space="preserve"> </w:t>
      </w:r>
      <w:r>
        <w:t xml:space="preserve">temperature reaches its minimum; but when the same GPL-V is combined with</w:t>
      </w:r>
      <w:r>
        <w:t xml:space="preserve"> </w:t>
      </w:r>
      <w:r>
        <w:t xml:space="preserve">porosity-V (both concentrated at the inner surface) the two effects weaken each</w:t>
      </w:r>
      <w:r>
        <w:t xml:space="preserve"> </w:t>
      </w:r>
      <w:r>
        <w:t xml:space="preserve">other and the outer-surface temperature rises to 0.692. At the other extreme, the</w:t>
      </w:r>
      <w:r>
        <w:t xml:space="preserve"> </w:t>
      </w:r>
      <w:r>
        <w:t xml:space="preserve">worst cases belong to GPL-A (conductive at the outer surface) combined with the</w:t>
      </w:r>
      <w:r>
        <w:t xml:space="preserve"> </w:t>
      </w:r>
      <w:r>
        <w:t xml:space="preserve">symmetric porosities, which raise the outer-surface temperature as high as 0.896.</w:t>
      </w:r>
      <w:r>
        <w:t xml:space="preserve"> </w:t>
      </w:r>
      <w:r>
        <w:t xml:space="preserve">The highest hoop stresses of the matrix appear where a stiff GPL pattern meets an</w:t>
      </w:r>
      <w:r>
        <w:t xml:space="preserve"> </w:t>
      </w:r>
      <w:r>
        <w:t xml:space="preserve">inner-concentrated porosity — for example X-GPL + V-Por, with a peak hoop stress</w:t>
      </w:r>
      <w:r>
        <w:t xml:space="preserve"> </w:t>
      </w:r>
      <w:r>
        <w:t xml:space="preserve">of 4.20 — so the matrix also maps where stress, not temperature, becomes the</w:t>
      </w:r>
      <w:r>
        <w:t xml:space="preserve"> </w:t>
      </w:r>
      <w:r>
        <w:t xml:space="preserve">limiting concern. Thus not only the individual pattern but also the alignment or</w:t>
      </w:r>
      <w:r>
        <w:t xml:space="preserve"> </w:t>
      </w:r>
      <w:r>
        <w:t xml:space="preserve">opposition of the two patterns is decisive; this full interaction map has no</w:t>
      </w:r>
      <w:r>
        <w:t xml:space="preserve"> </w:t>
      </w:r>
      <w:r>
        <w:t xml:space="preserve">counterpart in comparable previous research [6] and is one of the contributions of</w:t>
      </w:r>
      <w:r>
        <w:t xml:space="preserve"> </w:t>
      </w:r>
      <w:r>
        <w:t xml:space="preserve">this work.</w:t>
      </w:r>
    </w:p>
    <w:bookmarkEnd w:id="84"/>
    <w:bookmarkStart w:id="88" w:name="effect-of-the-coupling-of-the-equations"/>
    <w:p>
      <w:pPr>
        <w:pStyle w:val="Heading2"/>
      </w:pPr>
      <w:r>
        <w:t xml:space="preserve">4-14. Effect of the coupling of the equations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rmo-mechanical coupling: fully coupled versus uncoupled energy equation." title="" id="86" name="Picture"/>
            <a:graphic>
              <a:graphicData uri="http://schemas.openxmlformats.org/drawingml/2006/picture">
                <pic:pic>
                  <pic:nvPicPr>
                    <pic:cNvPr descr="figures_ch4_color/I_coupl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thermo-mechanical coupling: fully coupled versus uncoupled energy equation.</w:t>
      </w:r>
    </w:p>
    <w:p>
      <w:pPr>
        <w:pStyle w:val="BodyText"/>
      </w:pPr>
      <w:r>
        <w:t xml:space="preserve">Figure 4-14 compares the fully coupled model with the uncoupled one (the</w:t>
      </w:r>
      <w:r>
        <w:t xml:space="preserve"> </w:t>
      </w:r>
      <w:r>
        <w:t xml:space="preserve">dilatation-rate term removed from the energy equation). At the reference</w:t>
      </w:r>
      <w:r>
        <w:t xml:space="preserve"> </w:t>
      </w:r>
      <w:r>
        <w:t xml:space="preserve">conditions the uncoupled model overestimates the peak mid-point temperature by</w:t>
      </w:r>
      <w:r>
        <w:t xml:space="preserve"> </w:t>
      </w:r>
      <w:r>
        <w:t xml:space="preserve">about 1.2 % (0.937 versus 0.926) and the outer-surface temperature by a similar</w:t>
      </w:r>
      <w:r>
        <w:t xml:space="preserve"> </w:t>
      </w:r>
      <w:r>
        <w:t xml:space="preserve">margin. The mechanism is that in the coupled model part of the thermal energy is</w:t>
      </w:r>
      <w:r>
        <w:t xml:space="preserve"> </w:t>
      </w:r>
      <w:r>
        <w:t xml:space="preserve">continuously converted into mechanical work — a thermoelastic damping of the</w:t>
      </w:r>
      <w:r>
        <w:t xml:space="preserve"> </w:t>
      </w:r>
      <w:r>
        <w:t xml:space="preserve">thermal wave — and the difference between the two models is largest exactly at the</w:t>
      </w:r>
      <w:r>
        <w:t xml:space="preserve"> </w:t>
      </w:r>
      <w:r>
        <w:t xml:space="preserve">wave fronts. The effect is modest at the mild reference relaxation time τ* = 0.15</w:t>
      </w:r>
      <w:r>
        <w:t xml:space="preserve"> </w:t>
      </w:r>
      <w:r>
        <w:t xml:space="preserve">but grows with the wave strength; it demonstrates that the fully coupled system</w:t>
      </w:r>
      <w:r>
        <w:t xml:space="preserve"> </w:t>
      </w:r>
      <w:r>
        <w:t xml:space="preserve">should be solved when the wave signature matters, despite its higher cost.</w:t>
      </w:r>
    </w:p>
    <w:bookmarkEnd w:id="88"/>
    <w:bookmarkStart w:id="92" w:name="Xb006e1994140170e308a706d86645cac631d9cb"/>
    <w:p>
      <w:pPr>
        <w:pStyle w:val="Heading2"/>
      </w:pPr>
      <w:r>
        <w:t xml:space="preserve">4-15. Effect of the outer-surface convection coefficient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Effect of the outer-surface convection coefficient h_c = 10 / 100 / 1000 W/m2K." title="" id="90" name="Picture"/>
            <a:graphic>
              <a:graphicData uri="http://schemas.openxmlformats.org/drawingml/2006/picture">
                <pic:pic>
                  <pic:nvPicPr>
                    <pic:cNvPr descr="figures_ch4_color/J_convectio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outer-surface convection coefficient h_c = 10 / 100 / 1000 W/m2K.</w:t>
      </w:r>
    </w:p>
    <w:p>
      <w:pPr>
        <w:pStyle w:val="BodyText"/>
      </w:pPr>
      <w:r>
        <w:t xml:space="preserve">Figure 4-15 examines the outer-surface convection coefficient for h_c = 10, 100</w:t>
      </w:r>
      <w:r>
        <w:t xml:space="preserve"> </w:t>
      </w:r>
      <w:r>
        <w:t xml:space="preserve">and 1000 W/m²K, corresponding to Biot numbers Bi = h_c h/k̄ ≈ 0.07 to 6.6. As h_c</w:t>
      </w:r>
      <w:r>
        <w:t xml:space="preserve"> </w:t>
      </w:r>
      <w:r>
        <w:t xml:space="preserve">increases, the outer surface turns from nearly adiabatic into an effective heat</w:t>
      </w:r>
      <w:r>
        <w:t xml:space="preserve"> </w:t>
      </w:r>
      <w:r>
        <w:t xml:space="preserve">sink: the outer-surface temperature drops from 0.883 through 0.591 to 0.107, the</w:t>
      </w:r>
      <w:r>
        <w:t xml:space="preserve"> </w:t>
      </w:r>
      <w:r>
        <w:t xml:space="preserve">mid-point peak from 0.926 through 0.802 to 0.715, and the inner-surface hoop</w:t>
      </w:r>
      <w:r>
        <w:t xml:space="preserve"> </w:t>
      </w:r>
      <w:r>
        <w:t xml:space="preserve">stress relaxes from 1.526 through 1.176 to 0.540 — because what sets the thermal</w:t>
      </w:r>
      <w:r>
        <w:t xml:space="preserve"> </w:t>
      </w:r>
      <w:r>
        <w:t xml:space="preserve">stress is the through-wall temperature difference, not the absolute temperature.</w:t>
      </w:r>
      <w:r>
        <w:t xml:space="preserve"> </w:t>
      </w:r>
      <w:r>
        <w:t xml:space="preserve">The response is nearly insensitive to convection at the smallest coefficient and</w:t>
      </w:r>
      <w:r>
        <w:t xml:space="preserve"> </w:t>
      </w:r>
      <w:r>
        <w:t xml:space="preserve">strongly convection-controlled at the largest, two regimes that must be</w:t>
      </w:r>
      <w:r>
        <w:t xml:space="preserve"> </w:t>
      </w:r>
      <w:r>
        <w:t xml:space="preserve">distinguished in design.</w:t>
      </w:r>
    </w:p>
    <w:bookmarkEnd w:id="92"/>
    <w:bookmarkStart w:id="96" w:name="effect-of-the-wall-thickness"/>
    <w:p>
      <w:pPr>
        <w:pStyle w:val="Heading2"/>
      </w:pPr>
      <w:r>
        <w:t xml:space="preserve">4-16. Effect of the wall thickness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Effect of the wall thickness, radius ratio R_o/R_i = 1.25 / 1.5 / 2.0 (inner radius fixed)." title="" id="94" name="Picture"/>
            <a:graphic>
              <a:graphicData uri="http://schemas.openxmlformats.org/drawingml/2006/picture">
                <pic:pic>
                  <pic:nvPicPr>
                    <pic:cNvPr descr="figures_ch4_color/K_thicknes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Effect of the wall thickness, radius ratio R_o/R_i = 1.25 / 1.5 / 2.0 (inner radius fixed).</w:t>
      </w:r>
    </w:p>
    <w:p>
      <w:pPr>
        <w:pStyle w:val="BodyText"/>
      </w:pPr>
      <w:r>
        <w:t xml:space="preserve">Figure 4-16 compares three cylinders with radius ratios R_o/R_i = 1.25, 1.5 and</w:t>
      </w:r>
      <w:r>
        <w:t xml:space="preserve"> </w:t>
      </w:r>
      <w:r>
        <w:t xml:space="preserve">2.0 (inner radius fixed at 1 m; wall thickness 0.25, 0.5 and 1.0 m); the time</w:t>
      </w:r>
      <w:r>
        <w:t xml:space="preserve"> </w:t>
      </w:r>
      <w:r>
        <w:t xml:space="preserve">scale of each is nondimensionalized with its own wall thickness. The thin wall</w:t>
      </w:r>
      <w:r>
        <w:t xml:space="preserve"> </w:t>
      </w:r>
      <w:r>
        <w:t xml:space="preserve">(ratio 1.25) is crossed quickly by the thermal wave, so its outer surface heats</w:t>
      </w:r>
      <w:r>
        <w:t xml:space="preserve"> </w:t>
      </w:r>
      <w:r>
        <w:t xml:space="preserve">fully (outer temperature 0.999), but the small thickness concentrates the thermal</w:t>
      </w:r>
      <w:r>
        <w:t xml:space="preserve"> </w:t>
      </w:r>
      <w:r>
        <w:t xml:space="preserve">strain and produces the largest mechanical response of the study — an</w:t>
      </w:r>
      <w:r>
        <w:t xml:space="preserve"> </w:t>
      </w:r>
      <w:r>
        <w:t xml:space="preserve">inner-surface hoop stress of 4.017 and a peak displacement of 26.6. The thick wall</w:t>
      </w:r>
      <w:r>
        <w:t xml:space="preserve"> </w:t>
      </w:r>
      <w:r>
        <w:t xml:space="preserve">(ratio 2.0) behaves oppositely: within the window the wave does not fully cross,</w:t>
      </w:r>
      <w:r>
        <w:t xml:space="preserve"> </w:t>
      </w:r>
      <w:r>
        <w:t xml:space="preserve">the outer region stays cooler (outer temperature 0.740), the displacement collapses</w:t>
      </w:r>
      <w:r>
        <w:t xml:space="preserve"> </w:t>
      </w:r>
      <w:r>
        <w:t xml:space="preserve">to 2.66, and the inner-surface hoop stress becomes compressive (−0.628), since the</w:t>
      </w:r>
      <w:r>
        <w:t xml:space="preserve"> </w:t>
      </w:r>
      <w:r>
        <w:t xml:space="preserve">heated inner band pushes against the cold, stiff outer mass. The wall thickness is</w:t>
      </w:r>
      <w:r>
        <w:t xml:space="preserve"> </w:t>
      </w:r>
      <w:r>
        <w:t xml:space="preserve">therefore the geometric lever that trades a small, highly stressed thin wall</w:t>
      </w:r>
      <w:r>
        <w:t xml:space="preserve"> </w:t>
      </w:r>
      <w:r>
        <w:t xml:space="preserve">against a large, mildly stressed but strongly compressive thick wall.</w:t>
      </w:r>
    </w:p>
    <w:bookmarkEnd w:id="96"/>
    <w:bookmarkStart w:id="100" w:name="response-to-a-gaussian-thermal-shock"/>
    <w:p>
      <w:pPr>
        <w:pStyle w:val="Heading2"/>
      </w:pPr>
      <w:r>
        <w:t xml:space="preserve">4-17. Response to a Gaussian thermal shock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Response to a Gaussian thermal shock: Lord-Shulman versus Fourier; the LS pulse arrives later, stronger and persists." title="" id="98" name="Picture"/>
            <a:graphic>
              <a:graphicData uri="http://schemas.openxmlformats.org/drawingml/2006/picture">
                <pic:pic>
                  <pic:nvPicPr>
                    <pic:cNvPr descr="figures_ch4_color/M_gauss_shoc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to a Gaussian thermal shock: Lord-Shulman versus Fourier; the LS pulse arrives later, stronger and persists.</w:t>
      </w:r>
    </w:p>
    <w:p>
      <w:pPr>
        <w:pStyle w:val="BodyText"/>
      </w:pPr>
      <w:r>
        <w:t xml:space="preserve">In this study the sustained ramp is replaced by a short Gaussian pulse of the</w:t>
      </w:r>
      <w:r>
        <w:t xml:space="preserve"> </w:t>
      </w:r>
      <w:r>
        <w:t xml:space="preserve">inner-surface temperature, and the response is compared under the Lord-Shulman and</w:t>
      </w:r>
      <w:r>
        <w:t xml:space="preserve"> </w:t>
      </w:r>
      <w:r>
        <w:t xml:space="preserve">Fourier theories (Figure 4-17). The loading exposes the essential difference</w:t>
      </w:r>
      <w:r>
        <w:t xml:space="preserve"> </w:t>
      </w:r>
      <w:r>
        <w:t xml:space="preserve">between wave-like and diffusive transport: under Fourier conduction the pulse</w:t>
      </w:r>
      <w:r>
        <w:t xml:space="preserve"> </w:t>
      </w:r>
      <w:r>
        <w:t xml:space="preserve">arrives at the mid-thickness early, smeared and weak (peak 0.195 at Fo ≈ 0.18) and</w:t>
      </w:r>
      <w:r>
        <w:t xml:space="preserve"> </w:t>
      </w:r>
      <w:r>
        <w:t xml:space="preserve">has practically vanished by the end of the interval. Under the Lord-Shulman theory</w:t>
      </w:r>
      <w:r>
        <w:t xml:space="preserve"> </w:t>
      </w:r>
      <w:r>
        <w:t xml:space="preserve">the pulse travels as a coherent wave packet: it arrives later (Fo ≈ 0.31), about</w:t>
      </w:r>
      <w:r>
        <w:t xml:space="preserve"> </w:t>
      </w:r>
      <w:r>
        <w:t xml:space="preserve">two and a half times stronger (peak 0.478), and leaves persistent oscillations</w:t>
      </w:r>
      <w:r>
        <w:t xml:space="preserve"> </w:t>
      </w:r>
      <w:r>
        <w:t xml:space="preserve">behind. The accompanying wave-front figures (Figure 4-17b) show the sharp</w:t>
      </w:r>
      <w:r>
        <w:t xml:space="preserve"> </w:t>
      </w:r>
      <w:r>
        <w:t xml:space="preserve">second-sound front marching through the wall — the clearest visual signature of the</w:t>
      </w:r>
      <w:r>
        <w:t xml:space="preserve"> </w:t>
      </w:r>
      <w:r>
        <w:t xml:space="preserve">finite propagation speed. Under impulsive loads the classical theory therefore</w:t>
      </w:r>
      <w:r>
        <w:t xml:space="preserve"> </w:t>
      </w:r>
      <w:r>
        <w:t xml:space="preserve">substantially underestimates the transient thermal, and hence mechanical, severity</w:t>
      </w:r>
      <w:r>
        <w:t xml:space="preserve"> </w:t>
      </w:r>
      <w:r>
        <w:t xml:space="preserve">of the shock — a strong argument in favor of the generalized theory.</w:t>
      </w:r>
    </w:p>
    <w:bookmarkEnd w:id="100"/>
    <w:bookmarkStart w:id="101" w:name="comparison-of-time-integration-methods"/>
    <w:p>
      <w:pPr>
        <w:pStyle w:val="Heading2"/>
      </w:pPr>
      <w:r>
        <w:t xml:space="preserve">4-18. Comparison of time-integration methods</w:t>
      </w:r>
    </w:p>
    <w:p>
      <w:pPr>
        <w:pStyle w:val="FirstParagraph"/>
      </w:pPr>
      <w:r>
        <w:t xml:space="preserve">To position the Newmark scheme used in this thesis, five alternative time</w:t>
      </w:r>
      <w:r>
        <w:t xml:space="preserve"> </w:t>
      </w:r>
      <w:r>
        <w:t xml:space="preserve">integrators were run on the identical benchmark problem (transient conduction with</w:t>
      </w:r>
      <w:r>
        <w:t xml:space="preserve"> </w:t>
      </w:r>
      <w:r>
        <w:t xml:space="preserve">known exact solution; error measure: maximum temperature error at t = 10 s). The</w:t>
      </w:r>
      <w:r>
        <w:t xml:space="preserve"> </w:t>
      </w:r>
      <w:r>
        <w:t xml:space="preserve">results are summarized in Table 4-3.</w:t>
      </w:r>
    </w:p>
    <w:p>
      <w:pPr>
        <w:pStyle w:val="BodyText"/>
      </w:pPr>
      <w:r>
        <w:rPr>
          <w:b/>
          <w:bCs/>
        </w:rPr>
        <w:t xml:space="preserve">Table 4-3: Comparison of time-integration methods on the same spatial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max error (K)</w:t>
            </w:r>
          </w:p>
        </w:tc>
        <w:tc>
          <w:tcPr/>
          <w:p>
            <w:pPr>
              <w:pStyle w:val="Compact"/>
            </w:pPr>
            <w:r>
              <w:t xml:space="preserve">CPU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Newmark (δ=½, β=¼)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Wilson-θ (θ=1.4)</w:t>
            </w:r>
          </w:p>
        </w:tc>
        <w:tc>
          <w:tcPr/>
          <w:p>
            <w:pPr>
              <w:pStyle w:val="Compact"/>
            </w:pPr>
            <w: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Houbolt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HHT-α (α=−0.1)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ode15s (adaptive BDF)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Laplace-Durbin (thermal subsystem)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</w:tbl>
    <w:p>
      <w:pPr>
        <w:pStyle w:val="BodyText"/>
      </w:pPr>
      <w:r>
        <w:t xml:space="preserve">Newmark, Houbolt and HHT-α are practically equally accurate at equal time step;</w:t>
      </w:r>
      <w:r>
        <w:t xml:space="preserve"> </w:t>
      </w:r>
      <w:r>
        <w:t xml:space="preserve">Wilson-θ accepts a roughly five-fold larger error owing to its extra numerical</w:t>
      </w:r>
      <w:r>
        <w:t xml:space="preserve"> </w:t>
      </w:r>
      <w:r>
        <w:t xml:space="preserve">dissipation; the adaptive stiff solver ode15s is about ten times more accurate but</w:t>
      </w:r>
      <w:r>
        <w:t xml:space="preserve"> </w:t>
      </w:r>
      <w:r>
        <w:t xml:space="preserve">eight times more expensive; and the Laplace-transform route with Durbin inversion</w:t>
      </w:r>
      <w:r>
        <w:t xml:space="preserve"> </w:t>
      </w:r>
      <w:r>
        <w:t xml:space="preserve">is three orders of magnitude slower. A methodological result also emerged: the</w:t>
      </w:r>
      <w:r>
        <w:t xml:space="preserve"> </w:t>
      </w:r>
      <w:r>
        <w:t xml:space="preserve">Laplace transform cannot be applied to the full coupled system, because the</w:t>
      </w:r>
      <w:r>
        <w:t xml:space="preserve"> </w:t>
      </w:r>
      <w:r>
        <w:t xml:space="preserve">undamped elastic poles of the coupled operator lie exactly on the inversion</w:t>
      </w:r>
      <w:r>
        <w:t xml:space="preserve"> </w:t>
      </w:r>
      <w:r>
        <w:t xml:space="preserve">contour — which is why transform methods are applied in the literature to thermal</w:t>
      </w:r>
      <w:r>
        <w:t xml:space="preserve"> </w:t>
      </w:r>
      <w:r>
        <w:t xml:space="preserve">subsystems only. This measured comparison justifies the choice of the Newmark</w:t>
      </w:r>
      <w:r>
        <w:t xml:space="preserve"> </w:t>
      </w:r>
      <w:r>
        <w:t xml:space="preserve">method for all production runs of this thesis.</w:t>
      </w:r>
    </w:p>
    <w:bookmarkEnd w:id="101"/>
    <w:bookmarkStart w:id="102" w:name="X9c9188b738b4478e05baa4d1b661521d9ddb445"/>
    <w:p>
      <w:pPr>
        <w:pStyle w:val="Heading2"/>
      </w:pPr>
      <w:r>
        <w:t xml:space="preserve">4-19. Comparison of spatial-discretization methods</w:t>
      </w:r>
    </w:p>
    <w:p>
      <w:pPr>
        <w:pStyle w:val="FirstParagraph"/>
      </w:pPr>
      <w:r>
        <w:t xml:space="preserve">Four spatial discretizations — the differential quadrature method with Chebyshev</w:t>
      </w:r>
      <w:r>
        <w:t xml:space="preserve"> </w:t>
      </w:r>
      <w:r>
        <w:t xml:space="preserve">and with uniform grids, the second-order finite difference method, and the finite</w:t>
      </w:r>
      <w:r>
        <w:t xml:space="preserve"> </w:t>
      </w:r>
      <w:r>
        <w:t xml:space="preserve">element method with linear and quadratic elements (Galerkin formulation with</w:t>
      </w:r>
      <w:r>
        <w:t xml:space="preserve"> </w:t>
      </w:r>
      <w:r>
        <w:t xml:space="preserve">consistent matrices) — are compared on the transient-conduction problem with the</w:t>
      </w:r>
      <w:r>
        <w:t xml:space="preserve"> </w:t>
      </w:r>
      <w:r>
        <w:t xml:space="preserve">exact Bessel-series solution, using the identical Newmark time march. The number of</w:t>
      </w:r>
      <w:r>
        <w:t xml:space="preserve"> </w:t>
      </w:r>
      <w:r>
        <w:t xml:space="preserve">points required for each method’s error to reach the time-step floor is: about 9</w:t>
      </w:r>
      <w:r>
        <w:t xml:space="preserve"> </w:t>
      </w:r>
      <w:r>
        <w:t xml:space="preserve">to 11 for differential quadrature, about 21 for quadratic finite elements, and</w:t>
      </w:r>
      <w:r>
        <w:t xml:space="preserve"> </w:t>
      </w:r>
      <w:r>
        <w:t xml:space="preserve">about 161 for linear finite elements and finite differences. The linear-FEM and</w:t>
      </w:r>
      <w:r>
        <w:t xml:space="preserve"> </w:t>
      </w:r>
      <w:r>
        <w:t xml:space="preserve">FDM curves coincide at slope −2; quadratic FEM gains roughly one order of magnitude</w:t>
      </w:r>
      <w:r>
        <w:t xml:space="preserve"> </w:t>
      </w:r>
      <w:r>
        <w:t xml:space="preserve">per refinement step; and the DQM error falls quasi-exponentially until the temporal</w:t>
      </w:r>
      <w:r>
        <w:t xml:space="preserve"> </w:t>
      </w:r>
      <w:r>
        <w:t xml:space="preserve">floor. At equal accuracy the DQM system is therefore about fifteen times smaller</w:t>
      </w:r>
      <w:r>
        <w:t xml:space="preserve"> </w:t>
      </w:r>
      <w:r>
        <w:t xml:space="preserve">per direction — squared in the (r,z) plane — which is the quantitative</w:t>
      </w:r>
      <w:r>
        <w:t xml:space="preserve"> </w:t>
      </w:r>
      <w:r>
        <w:t xml:space="preserve">justification for the layerwise differential quadrature choice of this thesis, and</w:t>
      </w:r>
      <w:r>
        <w:t xml:space="preserve"> </w:t>
      </w:r>
      <w:r>
        <w:t xml:space="preserve">is fully consistent with the mesh-convergence study of Section 4-3, where a handful</w:t>
      </w:r>
      <w:r>
        <w:t xml:space="preserve"> </w:t>
      </w:r>
      <w:r>
        <w:t xml:space="preserve">of radial points already delivered three-digit accuracy. Adding the two Galerkin</w:t>
      </w:r>
      <w:r>
        <w:t xml:space="preserve"> </w:t>
      </w:r>
      <w:r>
        <w:t xml:space="preserve">finite-element formulations to this comparison is one of the extensions of this</w:t>
      </w:r>
      <w:r>
        <w:t xml:space="preserve"> </w:t>
      </w:r>
      <w:r>
        <w:t xml:space="preserve">work over comparable previous studies.</w:t>
      </w:r>
    </w:p>
    <w:bookmarkEnd w:id="102"/>
    <w:bookmarkStart w:id="106" w:name="X98f2e98b83d46383dd6148158741cac70debee7"/>
    <w:p>
      <w:pPr>
        <w:pStyle w:val="Heading2"/>
      </w:pPr>
      <w:r>
        <w:t xml:space="preserve">4-20. Comparison of the generalized thermoelasticity theories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Comparison of the generalized thermoelasticity theories: Fourier / Lord-Shulman / dual-phase-lag / Green-Naghdi III." title="" id="104" name="Picture"/>
            <a:graphic>
              <a:graphicData uri="http://schemas.openxmlformats.org/drawingml/2006/picture">
                <pic:pic>
                  <pic:nvPicPr>
                    <pic:cNvPr descr="figures_ch4_color/T3_theorie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of the generalized thermoelasticity theories: Fourier / Lord-Shulman / dual-phase-lag / Green-Naghdi III.</w:t>
      </w:r>
    </w:p>
    <w:p>
      <w:pPr>
        <w:pStyle w:val="BodyText"/>
      </w:pPr>
      <w:r>
        <w:t xml:space="preserve">In the final extension study the reference problem is solved under four</w:t>
      </w:r>
      <w:r>
        <w:t xml:space="preserve"> </w:t>
      </w:r>
      <w:r>
        <w:t xml:space="preserve">thermoelasticity theories with matched parameters: the classical coupled Fourier</w:t>
      </w:r>
      <w:r>
        <w:t xml:space="preserve"> </w:t>
      </w:r>
      <w:r>
        <w:t xml:space="preserve">theory, the Lord-Shulman theory [4], the dual-phase-lag (DPL) theory [74] with</w:t>
      </w:r>
      <w:r>
        <w:t xml:space="preserve"> </w:t>
      </w:r>
      <w:r>
        <w:t xml:space="preserve">τ_q = τ0 and τ_T = τ_q/2, and the Green-Naghdi type-III theory [67] with</w:t>
      </w:r>
      <w:r>
        <w:t xml:space="preserve"> </w:t>
      </w:r>
      <w:r>
        <w:t xml:space="preserve">k* = k/τ0 (so that its wave speed equals the Lord-Shulman one). According to</w:t>
      </w:r>
      <w:r>
        <w:t xml:space="preserve"> </w:t>
      </w:r>
      <w:r>
        <w:t xml:space="preserve">Figure 4-18, the peak mid-point temperatures order as Fourier 0.950 &lt; DPL 0.956 &lt;</w:t>
      </w:r>
      <w:r>
        <w:t xml:space="preserve"> </w:t>
      </w:r>
      <w:r>
        <w:t xml:space="preserve">Lord-Shulman 0.962 &lt; Green-Naghdi 1.581. Two observations follow. First, at the</w:t>
      </w:r>
      <w:r>
        <w:t xml:space="preserve"> </w:t>
      </w:r>
      <w:r>
        <w:t xml:space="preserve">mild reference relaxation time the Fourier, DPL and Lord-Shulman peaks lie close</w:t>
      </w:r>
      <w:r>
        <w:t xml:space="preserve"> </w:t>
      </w:r>
      <w:r>
        <w:t xml:space="preserve">together, because the wave is weak; DPL interpolates between Fourier and</w:t>
      </w:r>
      <w:r>
        <w:t xml:space="preserve"> </w:t>
      </w:r>
      <w:r>
        <w:t xml:space="preserve">Lord-Shulman, as expected. Second, the Green-Naghdi type-III theory stands apart:</w:t>
      </w:r>
      <w:r>
        <w:t xml:space="preserve"> </w:t>
      </w:r>
      <w:r>
        <w:t xml:space="preserve">it produces a large, early overshoot (peak 1.581 at Fo ≈ 0.33) that then relaxes</w:t>
      </w:r>
      <w:r>
        <w:t xml:space="preserve"> </w:t>
      </w:r>
      <w:r>
        <w:t xml:space="preserve">only slowly (0.870 at the end of the interval), because its energy equation lacks a</w:t>
      </w:r>
      <w:r>
        <w:t xml:space="preserve"> </w:t>
      </w:r>
      <w:r>
        <w:t xml:space="preserve">dissipative mechanism to damp the thermal wave, so its long-time behavior is</w:t>
      </w:r>
      <w:r>
        <w:t xml:space="preserve"> </w:t>
      </w:r>
      <w:r>
        <w:t xml:space="preserve">qualitatively different from the other three. Such a four-theory map for porous</w:t>
      </w:r>
      <w:r>
        <w:t xml:space="preserve"> </w:t>
      </w:r>
      <w:r>
        <w:t xml:space="preserve">GPL-reinforced cylinders does not exist in the literature and is one of the</w:t>
      </w:r>
      <w:r>
        <w:t xml:space="preserve"> </w:t>
      </w:r>
      <w:r>
        <w:t xml:space="preserve">contributions of this research.</w:t>
      </w:r>
    </w:p>
    <w:bookmarkEnd w:id="106"/>
    <w:bookmarkStart w:id="107" w:name="chapter-summary"/>
    <w:p>
      <w:pPr>
        <w:pStyle w:val="Heading2"/>
      </w:pPr>
      <w:r>
        <w:t xml:space="preserve">4-21. Chapter summary</w:t>
      </w:r>
    </w:p>
    <w:p>
      <w:pPr>
        <w:pStyle w:val="FirstParagraph"/>
      </w:pPr>
      <w:r>
        <w:t xml:space="preserve">The main findings of this chapter can be summarized as follows:</w:t>
      </w:r>
    </w:p>
    <w:p>
      <w:pPr>
        <w:pStyle w:val="Compact"/>
        <w:numPr>
          <w:ilvl w:val="0"/>
          <w:numId w:val="1001"/>
        </w:numPr>
      </w:pPr>
      <w:r>
        <w:t xml:space="preserve">The numerical convergence of the solution was established independently in</w:t>
      </w:r>
      <w:r>
        <w:t xml:space="preserve"> </w:t>
      </w:r>
      <w:r>
        <w:t xml:space="preserve">every direction — radial (converged from N_r = 7), axial (the binding</w:t>
      </w:r>
      <w:r>
        <w:t xml:space="preserve"> </w:t>
      </w:r>
      <w:r>
        <w:t xml:space="preserve">direction; N_z = 5 gives a 9.4 % error, converged by N_z = 9), layers</w:t>
      </w:r>
      <w:r>
        <w:t xml:space="preserve"> </w:t>
      </w:r>
      <w:r>
        <w:t xml:space="preserve">(converged from N_L = 3–5) and time step (Δt ≤ 2 s) — before the solver was</w:t>
      </w:r>
      <w:r>
        <w:t xml:space="preserve"> </w:t>
      </w:r>
      <w:r>
        <w:t xml:space="preserve">verified in five independent tests against exact solutions and references.</w:t>
      </w:r>
    </w:p>
    <w:p>
      <w:pPr>
        <w:pStyle w:val="Compact"/>
        <w:numPr>
          <w:ilvl w:val="0"/>
          <w:numId w:val="1001"/>
        </w:numPr>
      </w:pPr>
      <w:r>
        <w:t xml:space="preserve">The Lord-Shulman thermal wave produces a mid-wall temperature overshoot that</w:t>
      </w:r>
      <w:r>
        <w:t xml:space="preserve"> </w:t>
      </w:r>
      <w:r>
        <w:t xml:space="preserve">grows with the relaxation time, up to T* = 1.271 at τ* = 0.87 — impossible under</w:t>
      </w:r>
      <w:r>
        <w:t xml:space="preserve"> </w:t>
      </w:r>
      <w:r>
        <w:t xml:space="preserve">Fourier conduction — with the characteristic peak-trough shape of the reflecting</w:t>
      </w:r>
      <w:r>
        <w:t xml:space="preserve"> </w:t>
      </w:r>
      <w:r>
        <w:t xml:space="preserve">wave; at the mild reference τ* = 0.15 the overshoot is small.</w:t>
      </w:r>
    </w:p>
    <w:p>
      <w:pPr>
        <w:pStyle w:val="Compact"/>
        <w:numPr>
          <w:ilvl w:val="0"/>
          <w:numId w:val="1001"/>
        </w:numPr>
      </w:pPr>
      <w:r>
        <w:t xml:space="preserve">Placing the GPLs at the heated surface (pattern V) and the pores at the cooled</w:t>
      </w:r>
      <w:r>
        <w:t xml:space="preserve"> </w:t>
      </w:r>
      <w:r>
        <w:t xml:space="preserve">surface (pattern A) is synergetic: the full 5×5 pattern matrix shows the best</w:t>
      </w:r>
      <w:r>
        <w:t xml:space="preserve"> </w:t>
      </w:r>
      <w:r>
        <w:t xml:space="preserve">combination, GPL-V with porosity-A, reducing the outer-surface temperature about</w:t>
      </w:r>
      <w:r>
        <w:t xml:space="preserve"> </w:t>
      </w:r>
      <w:r>
        <w:t xml:space="preserve">twenty-six-fold at a benign (compressive) stress level — the design</w:t>
      </w:r>
      <w:r>
        <w:t xml:space="preserve"> </w:t>
      </w:r>
      <w:r>
        <w:t xml:space="preserve">recommendation of this thesis. The alignment or opposition of the mirror</w:t>
      </w:r>
      <w:r>
        <w:t xml:space="preserve"> </w:t>
      </w:r>
      <w:r>
        <w:t xml:space="preserve">patterns V and A governs the thermal performance.</w:t>
      </w:r>
    </w:p>
    <w:p>
      <w:pPr>
        <w:pStyle w:val="Compact"/>
        <w:numPr>
          <w:ilvl w:val="0"/>
          <w:numId w:val="1001"/>
        </w:numPr>
      </w:pPr>
      <w:r>
        <w:t xml:space="preserve">In the low reference weight-fraction regime a small amount of graphene switches</w:t>
      </w:r>
      <w:r>
        <w:t xml:space="preserve"> </w:t>
      </w:r>
      <w:r>
        <w:t xml:space="preserve">the wall from a poor to a good thermal conductor; adding more mainly raises the</w:t>
      </w:r>
      <w:r>
        <w:t xml:space="preserve"> </w:t>
      </w:r>
      <w:r>
        <w:t xml:space="preserve">thermal stresses (the inner hoop stress reverses to −1.580 at 8 %). At this low</w:t>
      </w:r>
      <w:r>
        <w:t xml:space="preserve"> </w:t>
      </w:r>
      <w:r>
        <w:t xml:space="preserve">weight fraction the platelet aspect ratios are only second-order levers.</w:t>
      </w:r>
    </w:p>
    <w:p>
      <w:pPr>
        <w:pStyle w:val="Compact"/>
        <w:numPr>
          <w:ilvl w:val="0"/>
          <w:numId w:val="1001"/>
        </w:numPr>
      </w:pPr>
      <w:r>
        <w:t xml:space="preserve">Full coupling damps the thermal wave (about 1 % peak reduction at the reference,</w:t>
      </w:r>
      <w:r>
        <w:t xml:space="preserve"> </w:t>
      </w:r>
      <w:r>
        <w:t xml:space="preserve">growing with wave strength); uncoupled models are non-conservative at the wave</w:t>
      </w:r>
      <w:r>
        <w:t xml:space="preserve"> </w:t>
      </w:r>
      <w:r>
        <w:t xml:space="preserve">fronts.</w:t>
      </w:r>
    </w:p>
    <w:p>
      <w:pPr>
        <w:pStyle w:val="Compact"/>
        <w:numPr>
          <w:ilvl w:val="0"/>
          <w:numId w:val="1001"/>
        </w:numPr>
      </w:pPr>
      <w:r>
        <w:t xml:space="preserve">Internal pressure enters linearly; at the 50 MPa reference it is a first-order</w:t>
      </w:r>
      <w:r>
        <w:t xml:space="preserve"> </w:t>
      </w:r>
      <w:r>
        <w:t xml:space="preserve">contributor to the stress and displacement, yet the temperature field stays</w:t>
      </w:r>
      <w:r>
        <w:t xml:space="preserve"> </w:t>
      </w:r>
      <w:r>
        <w:t xml:space="preserve">thermally governed and no discontinuity occurs up to 100 MPa.</w:t>
      </w:r>
    </w:p>
    <w:p>
      <w:pPr>
        <w:pStyle w:val="Compact"/>
        <w:numPr>
          <w:ilvl w:val="0"/>
          <w:numId w:val="1001"/>
        </w:numPr>
      </w:pPr>
      <w:r>
        <w:t xml:space="preserve">Clamped ends reduce the mid-length hoop stress (from 1.526 to 0.424); support</w:t>
      </w:r>
      <w:r>
        <w:t xml:space="preserve"> </w:t>
      </w:r>
      <w:r>
        <w:t xml:space="preserve">effects are localized at the ends, and as the cylinder lengthens the mid-length</w:t>
      </w:r>
      <w:r>
        <w:t xml:space="preserve"> </w:t>
      </w:r>
      <w:r>
        <w:t xml:space="preserve">response converges to the long-cylinder limit.</w:t>
      </w:r>
    </w:p>
    <w:p>
      <w:pPr>
        <w:pStyle w:val="Compact"/>
        <w:numPr>
          <w:ilvl w:val="0"/>
          <w:numId w:val="1001"/>
        </w:numPr>
      </w:pPr>
      <w:r>
        <w:t xml:space="preserve">Under impulsive (Gaussian) heating the Lord-Shulman pulse reaches the mid-wall</w:t>
      </w:r>
      <w:r>
        <w:t xml:space="preserve"> </w:t>
      </w:r>
      <w:r>
        <w:t xml:space="preserve">about two and a half times stronger than the Fourier one and persists, whereas</w:t>
      </w:r>
      <w:r>
        <w:t xml:space="preserve"> </w:t>
      </w:r>
      <w:r>
        <w:t xml:space="preserve">the classical pulse smears and vanishes.</w:t>
      </w:r>
    </w:p>
    <w:p>
      <w:pPr>
        <w:pStyle w:val="Compact"/>
        <w:numPr>
          <w:ilvl w:val="0"/>
          <w:numId w:val="1001"/>
        </w:numPr>
      </w:pPr>
      <w:r>
        <w:t xml:space="preserve">Methodologically: Newmark offers the best accuracy-to-cost ratio of the six</w:t>
      </w:r>
      <w:r>
        <w:t xml:space="preserve"> </w:t>
      </w:r>
      <w:r>
        <w:t xml:space="preserve">tested integrators; differential quadrature needs about fifteen times fewer</w:t>
      </w:r>
      <w:r>
        <w:t xml:space="preserve"> </w:t>
      </w:r>
      <w:r>
        <w:t xml:space="preserve">points per direction than finite differences or linear finite elements; and the</w:t>
      </w:r>
      <w:r>
        <w:t xml:space="preserve"> </w:t>
      </w:r>
      <w:r>
        <w:t xml:space="preserve">four-theory map (Fourier / Lord-Shulman / DPL / Green-Naghdi) charts where the</w:t>
      </w:r>
      <w:r>
        <w:t xml:space="preserve"> </w:t>
      </w:r>
      <w:r>
        <w:t xml:space="preserve">theories diverge for this class of structures.</w:t>
      </w:r>
    </w:p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62" Target="media/rId62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03" Target="media/rId103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81" Target="media/rId81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2026-08-01T21:47:10Z</dcterms:created>
  <dcterms:modified xsi:type="dcterms:W3CDTF">2026-08-01T21:47:10Z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