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97ca15bc33bd9e423add11ed175b46f3577f4e"/>
    <w:p>
      <w:pPr>
        <w:pStyle w:val="Heading1"/>
      </w:pPr>
      <w:r>
        <w:t xml:space="preserve">مراجعِ «سابقهٔ استفاده» برای بخش‌های ۴-۱۸، ۴-۱۹ و ۴-۲۰ (نسخهٔ ۲)</w:t>
      </w:r>
    </w:p>
    <w:p>
      <w:pPr>
        <w:pStyle w:val="FirstParagraph"/>
      </w:pPr>
      <w:r>
        <w:rPr>
          <w:b/>
          <w:bCs/>
        </w:rPr>
        <w:t xml:space="preserve">تغییر نسبت به R1:</w:t>
      </w:r>
      <w:r>
        <w:t xml:space="preserve"> </w:t>
      </w:r>
      <w:r>
        <w:t xml:space="preserve">در نسخهٔ قبلی، مقالاتی که به‌عنوان مرجعِ صحت‌سنجیِ پایان‌نامه (Benchmark 1–3)</w:t>
      </w:r>
      <w:r>
        <w:t xml:space="preserve"> </w:t>
      </w:r>
      <w:r>
        <w:t xml:space="preserve">استفاده شده بودند عمداً از این فهرست کنار گذاشته شده بودند. طبق بازخورد نویسنده، این کار اشتباه بود:</w:t>
      </w:r>
      <w:r>
        <w:t xml:space="preserve"> </w:t>
      </w:r>
      <w:r>
        <w:t xml:space="preserve">نقشِ «صحت‌سنجی» و نقشِ «سابقهٔ استفاده از یک روش» دو چیز جداگانه‌اند و یک مقاله می‌تواند هر دو را</w:t>
      </w:r>
      <w:r>
        <w:t xml:space="preserve"> </w:t>
      </w:r>
      <w:r>
        <w:t xml:space="preserve">هم‌زمان ایفا کند. ترتیبِ اولویت برای معرفیِ منبع در این نسخه: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اولویت ۱ — مقالات مرجعِ خودِ پایان‌نامه</w:t>
      </w:r>
      <w:r>
        <w:t xml:space="preserve"> </w:t>
      </w:r>
      <w:r>
        <w:t xml:space="preserve">(مقالاتی که همین حالا در فصل ۲ یا فهرست منابع</w:t>
      </w:r>
      <w:r>
        <w:t xml:space="preserve"> </w:t>
      </w:r>
      <w:r>
        <w:t xml:space="preserve">استناد شده‌اند؛ شاملِ هر دو دستهٔ Tier 1/صحت‌سنجی و Tier 2/لیت‌ادبیات در</w:t>
      </w:r>
      <w:r>
        <w:t xml:space="preserve"> </w:t>
      </w:r>
      <w:r>
        <w:rPr>
          <w:rStyle w:val="VerbatimChar"/>
        </w:rPr>
        <w:t xml:space="preserve">papers/ANNOTATED_BIBLIOGRAPHY.md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اولویت ۲ — مقالات موجود در کتابخانه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papers/All papers(p.1-7)</w:t>
      </w:r>
      <w:r>
        <w:t xml:space="preserve">) که هنوز به‌صراحت در متنِ</w:t>
      </w:r>
      <w:r>
        <w:t xml:space="preserve"> </w:t>
      </w:r>
      <w:r>
        <w:t xml:space="preserve">پایان‌نامه استناد نشده‌اند.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اولویت ۳ — جست‌وجوی بیرونی</w:t>
      </w:r>
      <w:r>
        <w:t xml:space="preserve"> </w:t>
      </w:r>
      <w:r>
        <w:t xml:space="preserve">فقط برای شکاف‌هایی که اولویت ۱ و ۲ پوشش نمی‌دهند.</w:t>
      </w:r>
    </w:p>
    <w:p>
      <w:r>
        <w:pict>
          <v:rect style="width:0;height:1.5pt" o:hralign="center" o:hrstd="t" o:hr="t"/>
        </w:pict>
      </w:r>
    </w:p>
    <w:bookmarkStart w:id="9" w:name="مقایسه-روشهای-انتگرالگیری-زمانی"/>
    <w:p>
      <w:pPr>
        <w:pStyle w:val="Heading2"/>
      </w:pPr>
      <w:r>
        <w:t xml:space="preserve">۴-۱۸. مقایسهٔ روش‌های انتگرال‌گیری زمانی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روش</w:t>
            </w:r>
          </w:p>
        </w:tc>
        <w:tc>
          <w:tcPr/>
          <w:p>
            <w:pPr>
              <w:pStyle w:val="Compact"/>
            </w:pPr>
            <w:r>
              <w:t xml:space="preserve">مرجعِ پیشنهادی</w:t>
            </w:r>
          </w:p>
        </w:tc>
        <w:tc>
          <w:tcPr/>
          <w:p>
            <w:pPr>
              <w:pStyle w:val="Compact"/>
            </w:pPr>
            <w:r>
              <w:t xml:space="preserve">اولویت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نیومارک</w:t>
            </w:r>
          </w:p>
        </w:tc>
        <w:tc>
          <w:tcPr/>
          <w:p>
            <w:pPr>
              <w:pStyle w:val="Compact"/>
            </w:pPr>
            <w:r>
              <w:t xml:space="preserve">Malekzadeh &amp; Heydarpour (2012),</w:t>
            </w:r>
            <w:r>
              <w:t xml:space="preserve"> </w:t>
            </w:r>
            <w:r>
              <w:rPr>
                <w:i/>
                <w:iCs/>
              </w:rPr>
              <w:t xml:space="preserve">Int. J. Pressure Vessels Piping</w:t>
            </w:r>
            <w:r>
              <w:t xml:space="preserve"> </w:t>
            </w:r>
            <w:r>
              <w:t xml:space="preserve">98, 43–56 — پوستهٔ استوانه‌ایِ FG دوّار، DQM+نیومارک (</w:t>
            </w:r>
            <w:r>
              <w:rPr>
                <w:b/>
                <w:bCs/>
              </w:rPr>
              <w:t xml:space="preserve">Benchmark 1 پایان‌نامه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Heydarpour &amp; Malekzadeh (2018),</w:t>
            </w:r>
            <w:r>
              <w:t xml:space="preserve"> </w:t>
            </w:r>
            <w:r>
              <w:rPr>
                <w:i/>
                <w:iCs/>
              </w:rPr>
              <w:t xml:space="preserve">Iran J. Sci. Technol. Trans. Mech. Eng.</w:t>
            </w:r>
            <w:r>
              <w:t xml:space="preserve"> </w:t>
            </w:r>
            <w:r>
              <w:t xml:space="preserve">— کرهٔ چندلایهٔ FG، LW-DQM+نیومارک+نیوتن-رافسون، نظریهٔ 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لاپلاس (عددی، خانوادهٔ دوربین/هونیگ-هیردس)</w:t>
            </w:r>
          </w:p>
        </w:tc>
        <w:tc>
          <w:tcPr/>
          <w:p>
            <w:pPr>
              <w:pStyle w:val="Compact"/>
            </w:pPr>
            <w:r>
              <w:t xml:space="preserve">Bagri &amp; Eslami (2007),</w:t>
            </w:r>
            <w:r>
              <w:t xml:space="preserve"> </w:t>
            </w:r>
            <w:r>
              <w:rPr>
                <w:i/>
                <w:iCs/>
              </w:rPr>
              <w:t xml:space="preserve">Int. J. Mech. Sci.</w:t>
            </w:r>
            <w:r>
              <w:t xml:space="preserve"> </w:t>
            </w:r>
            <w:r>
              <w:t xml:space="preserve">49, 1325–1335 — فرمول‌بندیِ یکپارچهٔ LS/GL/GN، حل تحلیلی + معکوسِ عددیِ لاپلاس به روش Honig &amp; Hirdes (1984)، روی کره</w:t>
            </w:r>
            <w:r>
              <w:t xml:space="preserve"> </w:t>
            </w:r>
            <w:r>
              <w:rPr>
                <w:b/>
                <w:bCs/>
              </w:rPr>
              <w:t xml:space="preserve">و استوانه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Benchmark 3 پایان‌نامه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(2005),</w:t>
            </w:r>
            <w:r>
              <w:t xml:space="preserve"> </w:t>
            </w:r>
            <w:r>
              <w:rPr>
                <w:i/>
                <w:iCs/>
              </w:rPr>
              <w:t xml:space="preserve">Mech. Res. Commun.</w:t>
            </w:r>
            <w:r>
              <w:t xml:space="preserve"> </w:t>
            </w:r>
            <w:r>
              <w:t xml:space="preserve">— ترموالاستیسیتهٔ کلاسیکِ ممزوج، FEM گالرکین + لاپلاس-دوربین (Durbin 1973، تأیید شده با بررسیِ مستقیمِ متن)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(2007),</w:t>
            </w:r>
            <w:r>
              <w:t xml:space="preserve"> </w:t>
            </w:r>
            <w:r>
              <w:rPr>
                <w:i/>
                <w:iCs/>
              </w:rPr>
              <w:t xml:space="preserve">Int. J. Numer. Methods Eng.</w:t>
            </w:r>
            <w:r>
              <w:t xml:space="preserve"> </w:t>
            </w:r>
            <w:r>
              <w:t xml:space="preserve">72(10) — همین روش، LS در برابر گرین–لیندزی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ویلسون-θ</w:t>
            </w:r>
          </w:p>
        </w:tc>
        <w:tc>
          <w:tcPr/>
          <w:p>
            <w:pPr>
              <w:pStyle w:val="Compact"/>
            </w:pPr>
            <w:r>
              <w:t xml:space="preserve">Ozkul (2004),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Struct.</w:t>
            </w:r>
            <w:r>
              <w:t xml:space="preserve"> </w:t>
            </w:r>
            <w:r>
              <w:t xml:space="preserve">42(4), 497–513 — پوستهٔ کلی‌شکل، دینامیکِ FEM با ویلسون-θ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بیرونی (نیاز به دانلود)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هوبولت</w:t>
            </w:r>
          </w:p>
        </w:tc>
        <w:tc>
          <w:tcPr/>
          <w:p>
            <w:pPr>
              <w:pStyle w:val="Compact"/>
            </w:pPr>
            <w:r>
              <w:t xml:space="preserve">Pandey, Upadhyay &amp; Shukla (2012),</w:t>
            </w:r>
            <w:r>
              <w:t xml:space="preserve"> </w:t>
            </w:r>
            <w:r>
              <w:rPr>
                <w:i/>
                <w:iCs/>
              </w:rPr>
              <w:t xml:space="preserve">Mech. Adv. Mater. Struct.</w:t>
            </w:r>
            <w:r>
              <w:t xml:space="preserve"> </w:t>
            </w:r>
            <w:r>
              <w:t xml:space="preserve">19(6), 397–420 — صفحهٔ کامپوزیتیِ لایه‌ای، هوبولت+سری چبیشف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بیرونی (نیاز به دانلود)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HHT-α</w:t>
            </w:r>
          </w:p>
        </w:tc>
        <w:tc>
          <w:tcPr/>
          <w:p>
            <w:pPr>
              <w:pStyle w:val="Compact"/>
            </w:pPr>
            <w:r>
              <w:t xml:space="preserve">مقالهٔ SEM-HHT روی تیر تیموشنکوی FG بر بسترِ Vlasov،</w:t>
            </w:r>
            <w:r>
              <w:t xml:space="preserve"> </w:t>
            </w:r>
            <w:r>
              <w:rPr>
                <w:i/>
                <w:iCs/>
              </w:rPr>
              <w:t xml:space="preserve">MDPI</w:t>
            </w:r>
            <w:r>
              <w:t xml:space="preserve"> </w:t>
            </w:r>
            <w:r>
              <w:t xml:space="preserve">(۲۰۲۴)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بیرونی (نیاز به دانلود؛ نامِ نویسندگان باید تکمیل شود)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ode15s</w:t>
            </w:r>
          </w:p>
        </w:tc>
        <w:tc>
          <w:tcPr/>
          <w:p>
            <w:pPr>
              <w:pStyle w:val="Compact"/>
            </w:pPr>
            <w:r>
              <w:t xml:space="preserve">Shampine &amp; Reichelt (1997),</w:t>
            </w:r>
            <w:r>
              <w:t xml:space="preserve"> </w:t>
            </w:r>
            <w:r>
              <w:rPr>
                <w:i/>
                <w:iCs/>
              </w:rPr>
              <w:t xml:space="preserve">SIAM J. Sci. Comput.</w:t>
            </w:r>
            <w:r>
              <w:t xml:space="preserve"> </w:t>
            </w:r>
            <w:r>
              <w:t xml:space="preserve">18(1), 1–22 — مرجعِ منشأ روش (BDF/NDF)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مرجعِ منشأ روش؛ کاربردی در این حوزه یافت نشد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مقایسه-روشهای-گسستهسازی-مکانی"/>
    <w:p>
      <w:pPr>
        <w:pStyle w:val="Heading2"/>
      </w:pPr>
      <w:r>
        <w:t xml:space="preserve">۴-۱۹. مقایسهٔ روش‌های گسسته‌سازی مکانی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روش</w:t>
            </w:r>
          </w:p>
        </w:tc>
        <w:tc>
          <w:tcPr/>
          <w:p>
            <w:pPr>
              <w:pStyle w:val="Compact"/>
            </w:pPr>
            <w:r>
              <w:t xml:space="preserve">مرجعِ پیشنهادی</w:t>
            </w:r>
          </w:p>
        </w:tc>
        <w:tc>
          <w:tcPr/>
          <w:p>
            <w:pPr>
              <w:pStyle w:val="Compact"/>
            </w:pPr>
            <w:r>
              <w:t xml:space="preserve">اولویت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DQM</w:t>
            </w:r>
          </w:p>
        </w:tc>
        <w:tc>
          <w:tcPr/>
          <w:p>
            <w:pPr>
              <w:pStyle w:val="Compact"/>
            </w:pPr>
            <w:r>
              <w:t xml:space="preserve">Malekzadeh &amp; Heydarpour (2012),</w:t>
            </w:r>
            <w:r>
              <w:t xml:space="preserve"> </w:t>
            </w:r>
            <w:r>
              <w:rPr>
                <w:rStyle w:val="VerbatimChar"/>
              </w:rPr>
              <w:t xml:space="preserve">ijpvp.2012.07.003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Benchmark 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Heydarpour &amp; Malekzadeh (2018),</w:t>
            </w:r>
            <w:r>
              <w:t xml:space="preserve"> </w:t>
            </w:r>
            <w:r>
              <w:rPr>
                <w:rStyle w:val="VerbatimChar"/>
              </w:rPr>
              <w:t xml:space="preserve">s40997-018-0199-0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Heydarpour, Malekzadeh &amp; Vaghefi (2012),</w:t>
            </w:r>
            <w:r>
              <w:t xml:space="preserve"> </w:t>
            </w:r>
            <w:r>
              <w:rPr>
                <w:rStyle w:val="VerbatimChar"/>
              </w:rPr>
              <w:t xml:space="preserve">s00707-011-0551-6</w:t>
            </w:r>
            <w:r>
              <w:t xml:space="preserve"> </w:t>
            </w:r>
            <w:r>
              <w:t xml:space="preserve">— LW-DQM، پوستهٔ استوانه‌ایِ FG دوّار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۲ — کتابخانه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DQM سه‌بعدیِ غیرخطیِ ترموالاستیک روی استوانهٔ FG+پیزو،</w:t>
            </w:r>
            <w:r>
              <w:t xml:space="preserve"> </w:t>
            </w:r>
            <w:r>
              <w:rPr>
                <w:rStyle w:val="VerbatimChar"/>
              </w:rPr>
              <w:t xml:space="preserve">s00707-012-0716-y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۲ — کتابخانه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GDQ روی پوستهٔ استوانه‌ایِ FG تقویت‌شده با الیاف،</w:t>
            </w:r>
            <w:r>
              <w:t xml:space="preserve"> </w:t>
            </w:r>
            <w:r>
              <w:rPr>
                <w:rStyle w:val="VerbatimChar"/>
              </w:rPr>
              <w:t xml:space="preserve">apm.2013.01.005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۲ — کتابخانه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</w:t>
            </w:r>
          </w:p>
        </w:tc>
        <w:tc>
          <w:tcPr/>
          <w:p>
            <w:pPr>
              <w:pStyle w:val="Compact"/>
            </w:pPr>
            <w:r>
              <w:t xml:space="preserve">Bagri &amp; Eslami (2007),</w:t>
            </w:r>
            <w:r>
              <w:t xml:space="preserve"> </w:t>
            </w:r>
            <w:r>
              <w:rPr>
                <w:rStyle w:val="VerbatimChar"/>
              </w:rPr>
              <w:t xml:space="preserve">ijmecsci.2007.04.004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Benchmark 3</w:t>
            </w:r>
            <w:r>
              <w:t xml:space="preserve"> </w:t>
            </w:r>
            <w:r>
              <w:t xml:space="preserve">— حل تحلیلی در فضا، نه FEM؛ برای FEM به ردیف زیر نگاه کنید)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(توضیح: این مقاله FEM نیست، تحلیلی است — فقط برای ۴-۲۰ و لاپلاس مرتبط است)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(2005/2007),</w:t>
            </w:r>
            <w:r>
              <w:t xml:space="preserve"> </w:t>
            </w:r>
            <w:r>
              <w:rPr>
                <w:rStyle w:val="VerbatimChar"/>
              </w:rPr>
              <w:t xml:space="preserve">mechrescom.2005.09.003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nme.1782</w:t>
            </w:r>
            <w:r>
              <w:t xml:space="preserve"> </w:t>
            </w:r>
            <w:r>
              <w:t xml:space="preserve">— FEM گالرکین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پایان‌نامهٔ ایجپی،</w:t>
            </w:r>
            <w:r>
              <w:t xml:space="preserve"> </w:t>
            </w:r>
            <w:r>
              <w:rPr>
                <w:rStyle w:val="VerbatimChar"/>
              </w:rPr>
              <w:t xml:space="preserve">11648_j.ijepe.20130202.15</w:t>
            </w:r>
            <w:r>
              <w:t xml:space="preserve"> </w:t>
            </w:r>
            <w:r>
              <w:t xml:space="preserve">— استوانهٔ ضخیم‌جدارهٔ تحت فشار، FEM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FDM</w:t>
            </w:r>
          </w:p>
        </w:tc>
        <w:tc>
          <w:tcPr/>
          <w:p>
            <w:pPr>
              <w:pStyle w:val="Compact"/>
            </w:pPr>
            <w:r>
              <w:t xml:space="preserve">Malekzadeh et al. (2012),</w:t>
            </w:r>
            <w:r>
              <w:t xml:space="preserve"> </w:t>
            </w:r>
            <w:r>
              <w:rPr>
                <w:rStyle w:val="VerbatimChar"/>
              </w:rPr>
              <w:t xml:space="preserve">tws.2012.04.010</w:t>
            </w:r>
            <w:r>
              <w:t xml:space="preserve"> </w:t>
            </w:r>
            <w:r>
              <w:t xml:space="preserve">— پوستهٔ استوانه‌ایِ FG، ترکیبِ FEM+DQM+</w:t>
            </w:r>
            <w:r>
              <w:rPr>
                <w:b/>
                <w:bCs/>
              </w:rPr>
              <w:t xml:space="preserve">تفاضل محدود</w:t>
            </w:r>
            <w:r>
              <w:t xml:space="preserve">، نیومارک، حرارتِ هذلولوی (</w:t>
            </w:r>
            <w:r>
              <w:rPr>
                <w:b/>
                <w:bCs/>
              </w:rPr>
              <w:t xml:space="preserve">Benchmark-مانند، قبلاً در کتابخانه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  <w:r>
              <w:t xml:space="preserve"> </w:t>
            </w:r>
            <w:r>
              <w:t xml:space="preserve">(ترکیبی، نه تفاضل‌محدودِ خالص)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Dai, Rao &amp; Jiang (2013),</w:t>
            </w:r>
            <w:r>
              <w:t xml:space="preserve"> </w:t>
            </w:r>
            <w:r>
              <w:rPr>
                <w:i/>
                <w:iCs/>
              </w:rPr>
              <w:t xml:space="preserve">J. Composite Materials</w:t>
            </w:r>
            <w:r>
              <w:t xml:space="preserve"> </w:t>
            </w:r>
            <w:r>
              <w:t xml:space="preserve">47(3), 315–325 — استوانهٔ توخالیِ FG، تفاضل محدودِ خالص + نیومارک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بیرونی (نیاز به دانلود؛ برای تطبیق دقیق‌تر با «تفاضل محدودِ خالص» در متن ۴-۱۹)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Homayouni, Shariyat &amp; Rahmani (2022),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Struct.</w:t>
            </w:r>
            <w:r>
              <w:t xml:space="preserve"> </w:t>
            </w:r>
            <w:r>
              <w:t xml:space="preserve">177, 109359 — استوانهٔ ضخیمِ FG، نظریهٔ LS، تفاضل محدودِ خالص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بیرونی (نیاز به دانلود؛ کاربرد دوگانه با LS در ۴-۲۰)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9934a6e1411b18b38d65a0fc417b4ad0d30b99"/>
    <w:p>
      <w:pPr>
        <w:pStyle w:val="Heading2"/>
      </w:pPr>
      <w:r>
        <w:t xml:space="preserve">۴-۲۰. مقایسهٔ نظریه‌های ترموالاستیسیتهٔ تعمیم‌یافته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نظریه</w:t>
            </w:r>
          </w:p>
        </w:tc>
        <w:tc>
          <w:tcPr/>
          <w:p>
            <w:pPr>
              <w:pStyle w:val="Compact"/>
            </w:pPr>
            <w:r>
              <w:t xml:space="preserve">مرجعِ پیشنهادی</w:t>
            </w:r>
          </w:p>
        </w:tc>
        <w:tc>
          <w:tcPr/>
          <w:p>
            <w:pPr>
              <w:pStyle w:val="Compact"/>
            </w:pPr>
            <w:r>
              <w:t xml:space="preserve">اولویت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کلاسیکِ ممزوج (فوریه)</w:t>
            </w:r>
          </w:p>
        </w:tc>
        <w:tc>
          <w:tcPr/>
          <w:p>
            <w:pPr>
              <w:pStyle w:val="Compact"/>
            </w:pPr>
            <w:r>
              <w:t xml:space="preserve">Bahtui &amp; Eslami (2005),</w:t>
            </w:r>
            <w:r>
              <w:t xml:space="preserve"> </w:t>
            </w:r>
            <w:r>
              <w:rPr>
                <w:rStyle w:val="VerbatimChar"/>
              </w:rPr>
              <w:t xml:space="preserve">mechrescom.2005.09.003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پایان‌نامهٔ ایجپی،</w:t>
            </w:r>
            <w:r>
              <w:t xml:space="preserve"> </w:t>
            </w:r>
            <w:r>
              <w:rPr>
                <w:rStyle w:val="VerbatimChar"/>
              </w:rPr>
              <w:t xml:space="preserve">11648_j.ijepe.20130202.15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لرد–شولمن</w:t>
            </w:r>
          </w:p>
        </w:tc>
        <w:tc>
          <w:tcPr/>
          <w:p>
            <w:pPr>
              <w:pStyle w:val="Compact"/>
            </w:pPr>
            <w:r>
              <w:t xml:space="preserve">Heydarpour, Malekzadeh &amp; Gholipour (2019),</w:t>
            </w:r>
            <w:r>
              <w:t xml:space="preserve"> </w:t>
            </w:r>
            <w:r>
              <w:rPr>
                <w:rStyle w:val="VerbatimChar"/>
              </w:rPr>
              <w:t xml:space="preserve">compositesb.2018.12.073</w:t>
            </w:r>
            <w:r>
              <w:t xml:space="preserve"> </w:t>
            </w:r>
            <w:r>
              <w:t xml:space="preserve">— مرجعِ اصلیِ/والدِ این پایان‌نامه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Malekzadeh &amp; Heydarpour (2012),</w:t>
            </w:r>
            <w:r>
              <w:t xml:space="preserve"> </w:t>
            </w:r>
            <w:r>
              <w:rPr>
                <w:rStyle w:val="VerbatimChar"/>
              </w:rPr>
              <w:t xml:space="preserve">ijpvp.2012.07.003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Benchmark 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Heydarpour &amp; Malekzadeh (2018),</w:t>
            </w:r>
            <w:r>
              <w:t xml:space="preserve"> </w:t>
            </w:r>
            <w:r>
              <w:rPr>
                <w:rStyle w:val="VerbatimChar"/>
              </w:rPr>
              <w:t xml:space="preserve">s40997-018-0199-0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Bagri &amp; Eslami (2007),</w:t>
            </w:r>
            <w:r>
              <w:t xml:space="preserve"> </w:t>
            </w:r>
            <w:r>
              <w:rPr>
                <w:rStyle w:val="VerbatimChar"/>
              </w:rPr>
              <w:t xml:space="preserve">ijmecsci.2007.04.004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Benchmark 3</w:t>
            </w:r>
            <w:r>
              <w:t xml:space="preserve"> </w:t>
            </w:r>
            <w:r>
              <w:t xml:space="preserve">— LS در کنار GL/GN)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(2007),</w:t>
            </w:r>
            <w:r>
              <w:t xml:space="preserve"> </w:t>
            </w:r>
            <w:r>
              <w:rPr>
                <w:rStyle w:val="VerbatimChar"/>
              </w:rPr>
              <w:t xml:space="preserve">nme.1782</w:t>
            </w:r>
            <w:r>
              <w:t xml:space="preserve"> </w:t>
            </w:r>
            <w:r>
              <w:t xml:space="preserve">— LS در برابر گرین–لیندزی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گرین–لیندزی (GL) — برای تکمیلِ تصویر، اگر لازم شود</w:t>
            </w:r>
          </w:p>
        </w:tc>
        <w:tc>
          <w:tcPr/>
          <w:p>
            <w:pPr>
              <w:pStyle w:val="Compact"/>
            </w:pPr>
            <w:r>
              <w:t xml:space="preserve">Bagri &amp; Eslami (2007),</w:t>
            </w:r>
            <w:r>
              <w:t xml:space="preserve"> </w:t>
            </w:r>
            <w:r>
              <w:rPr>
                <w:rStyle w:val="VerbatimChar"/>
              </w:rPr>
              <w:t xml:space="preserve">ijmecsci.2007.04.004</w:t>
            </w:r>
            <w:r>
              <w:t xml:space="preserve">؛ Bahtui &amp; Eslami (2007),</w:t>
            </w:r>
            <w:r>
              <w:t xml:space="preserve"> </w:t>
            </w:r>
            <w:r>
              <w:rPr>
                <w:rStyle w:val="VerbatimChar"/>
              </w:rPr>
              <w:t xml:space="preserve">nme.1782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تأخیرِ دوفازی (DPL)</w:t>
            </w:r>
          </w:p>
        </w:tc>
        <w:tc>
          <w:tcPr/>
          <w:p>
            <w:pPr>
              <w:pStyle w:val="Compact"/>
            </w:pPr>
            <w:r>
              <w:t xml:space="preserve">Ghasemi, Hoseinzadeh &amp; Memon (2022),</w:t>
            </w:r>
            <w:r>
              <w:t xml:space="preserve"> </w:t>
            </w:r>
            <w:r>
              <w:rPr>
                <w:i/>
                <w:iCs/>
              </w:rPr>
              <w:t xml:space="preserve">Int. Commun. Heat Mass Transfer</w:t>
            </w:r>
            <w:r>
              <w:t xml:space="preserve"> </w:t>
            </w:r>
            <w:r>
              <w:t xml:space="preserve">131, 105858 — تحلیل DPL روی مادهٔ استوانه‌ایِ FG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۳ — بیرونی (نیاز به دانلود)</w:t>
            </w:r>
            <w:r>
              <w:t xml:space="preserve"> </w:t>
            </w:r>
            <w:r>
              <w:t xml:space="preserve">— کتابخانه فقط مقالات مروری نظری دارد (</w:t>
            </w:r>
            <w:r>
              <w:rPr>
                <w:rStyle w:val="VerbatimChar"/>
              </w:rPr>
              <w:t xml:space="preserve">physrep.2023.11.001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s44245-023-00009-4</w:t>
            </w:r>
            <w:r>
              <w:t xml:space="preserve">) که DPL را توضیح می‌دهند اما آن را در تحلیل به‌کار نبرده‌اند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گرین–نگدیِ نوع سوم</w:t>
            </w:r>
          </w:p>
        </w:tc>
        <w:tc>
          <w:tcPr/>
          <w:p>
            <w:pPr>
              <w:pStyle w:val="Compact"/>
            </w:pPr>
            <w:r>
              <w:t xml:space="preserve">Bagri &amp; Eslami (2007),</w:t>
            </w:r>
            <w:r>
              <w:t xml:space="preserve"> </w:t>
            </w:r>
            <w:r>
              <w:rPr>
                <w:rStyle w:val="VerbatimChar"/>
              </w:rPr>
              <w:t xml:space="preserve">ijmecsci.2007.04.004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Benchmark 3</w:t>
            </w:r>
            <w:r>
              <w:t xml:space="preserve"> </w:t>
            </w:r>
            <w:r>
              <w:t xml:space="preserve">— GN در کنار LS/GL)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Hosseini &amp; Abolbashari (2012),</w:t>
            </w:r>
            <w:r>
              <w:t xml:space="preserve"> </w:t>
            </w:r>
            <w:r>
              <w:rPr>
                <w:rStyle w:val="VerbatimChar"/>
              </w:rPr>
              <w:t xml:space="preserve">01495739.2012.663686</w:t>
            </w:r>
            <w:r>
              <w:t xml:space="preserve"> </w:t>
            </w:r>
            <w:r>
              <w:t xml:space="preserve">— موج ترموالاستیک تحلیلی، استوانهٔ ضخیم، 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Hosseini (2021),</w:t>
            </w:r>
            <w:r>
              <w:t xml:space="preserve"> </w:t>
            </w:r>
            <w:r>
              <w:rPr>
                <w:rStyle w:val="VerbatimChar"/>
              </w:rPr>
              <w:t xml:space="preserve">tws.2021.108108</w:t>
            </w:r>
            <w:r>
              <w:t xml:space="preserve"> </w:t>
            </w:r>
            <w:r>
              <w:t xml:space="preserve">— استوانهٔ هیبریدیِ GPL+CNT، شوک گاوسی، GN-III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۱ — مرجع پایان‌نامه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استوانهٔ چندلایهٔ GPL، GN، MLPG،</w:t>
            </w:r>
            <w:r>
              <w:t xml:space="preserve"> </w:t>
            </w:r>
            <w:r>
              <w:rPr>
                <w:rStyle w:val="VerbatimChar"/>
              </w:rPr>
              <w:t xml:space="preserve">s42417-022-00585-x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۲ — کتابخانه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خلاصه-کارهای-باقیمانده"/>
    <w:p>
      <w:pPr>
        <w:pStyle w:val="Heading2"/>
      </w:pPr>
      <w:r>
        <w:t xml:space="preserve">خلاصهٔ کارهای باقی‌مانده</w:t>
      </w:r>
    </w:p>
    <w:p>
      <w:pPr>
        <w:pStyle w:val="FirstParagraph"/>
      </w:pPr>
      <w:r>
        <w:t xml:space="preserve">۱. برای اکثر ردیف‌های ۴-۱۹ و ۴-۲۰، مرجع از دل مقالاتِ از‌پیش‌استنادشدهٔ پایان‌نامه تأمین شد — فقط</w:t>
      </w:r>
      <w:r>
        <w:t xml:space="preserve"> </w:t>
      </w:r>
      <w:r>
        <w:t xml:space="preserve">باید شماره‌گذاریِ ارجاع در متنِ فصل ۴ از فهرست منابعِ موجود (نه منابع جدید) خوانده شود.</w:t>
      </w:r>
      <w:r>
        <w:t xml:space="preserve"> </w:t>
      </w:r>
      <w:r>
        <w:t xml:space="preserve">۲. تنها شکاف‌های واقعی که به مقالهٔ جدید نیاز دارند:</w:t>
      </w:r>
      <w:r>
        <w:t xml:space="preserve"> </w:t>
      </w:r>
      <w:r>
        <w:rPr>
          <w:b/>
          <w:bCs/>
        </w:rPr>
        <w:t xml:space="preserve">DPL کاربردی</w:t>
      </w:r>
      <w:r>
        <w:t xml:space="preserve"> </w:t>
      </w:r>
      <w:r>
        <w:t xml:space="preserve">(Ghasemi et al. 2022)،</w:t>
      </w:r>
      <w:r>
        <w:t xml:space="preserve"> </w:t>
      </w:r>
      <w:r>
        <w:rPr>
          <w:b/>
          <w:bCs/>
        </w:rPr>
        <w:t xml:space="preserve">تفاضل‌محدودِ خالص</w:t>
      </w:r>
      <w:r>
        <w:t xml:space="preserve"> </w:t>
      </w:r>
      <w:r>
        <w:t xml:space="preserve">برای تطبیق دقیق‌تر (Dai et al. 2013 / Homayouni et al. 2022)، و چهار روشِ</w:t>
      </w:r>
      <w:r>
        <w:t xml:space="preserve"> </w:t>
      </w:r>
      <w:r>
        <w:t xml:space="preserve">کلاسیکِ دینامیکِ سازه‌ای که در ادبیاتِ ترموالاستیسیتهٔ FG اصلاً دیده نمی‌شوند (ویلسون-θ، هوبولت،</w:t>
      </w:r>
      <w:r>
        <w:t xml:space="preserve"> </w:t>
      </w:r>
      <w:r>
        <w:t xml:space="preserve">HHT-α، ode15s).</w:t>
      </w:r>
      <w:r>
        <w:t xml:space="preserve"> </w:t>
      </w:r>
      <w:r>
        <w:t xml:space="preserve">۳. ثبت شماره‌های ارجاعِ نهایی در فهرست منابعِ پایان‌نامه و به‌روزرسانیِ متنِ بخش‌های ۴-۱۸ تا ۴-۲۰</w:t>
      </w:r>
      <w:r>
        <w:t xml:space="preserve"> </w:t>
      </w:r>
      <w:r>
        <w:t xml:space="preserve">(نسخهٔ بعدیِ فصل نتایج، نه ویرایشِ RESULTS_CHAPTER_FA_R4.4.md).</w:t>
      </w:r>
    </w:p>
    <w:p>
      <w:pPr>
        <w:pStyle w:val="BodyText"/>
      </w:pPr>
      <w:r>
        <w:rPr>
          <w:i/>
          <w:iCs/>
        </w:rPr>
        <w:t xml:space="preserve">تاریخ تدوین: ۱۴۰۵/۰۷/۱۴ (۲۰۲۶-۱۰-۰۶) — جایگزینِ R1 طبق بازخورد نویسنده دربارهٔ حذفِ نادرستِ</w:t>
      </w:r>
      <w:r>
        <w:rPr>
          <w:i/>
          <w:iCs/>
        </w:rPr>
        <w:t xml:space="preserve"> </w:t>
      </w:r>
      <w:r>
        <w:rPr>
          <w:i/>
          <w:iCs/>
        </w:rPr>
        <w:t xml:space="preserve">منابعِ صحت‌سنجی.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2026-10-06T12:43:47Z</dcterms:created>
  <dcterms:modified xsi:type="dcterms:W3CDTF">2026-10-06T12:43:47Z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