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[x]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4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each discretization direction — the radial nodes per</w:t>
      </w:r>
      <w:r>
        <w:t xml:space="preserve"> </w:t>
      </w:r>
      <w:r>
        <w:t xml:space="preserve">layer N_r, the axial nodes N_z, the number of layers N_L, and the time step Δt.</w:t>
      </w:r>
      <w:r>
        <w:t xml:space="preserve"> </w:t>
      </w:r>
      <w:r>
        <w:t xml:space="preserve">The convergence measure is the dimensionless hoop stress, reported as both the</w:t>
      </w:r>
      <w:r>
        <w:t xml:space="preserve"> </w:t>
      </w:r>
      <w:r>
        <w:t xml:space="preserve">inner-surface value and the relative L₂ error of the whole mid-plane radial</w:t>
      </w:r>
      <w:r>
        <w:t xml:space="preserve"> </w:t>
      </w:r>
      <w:r>
        <w:t xml:space="preserve">profile against the finest mesh. For each spatial direction the profile overlays</w:t>
      </w:r>
      <w:r>
        <w:t xml:space="preserve"> </w:t>
      </w:r>
      <w:r>
        <w:t xml:space="preserve">are shown as a figure and the error and cost are collected in a table.</w:t>
      </w:r>
    </w:p>
    <w:bookmarkStart w:id="14" w:name="radial-nodes-n_r"/>
    <w:p>
      <w:pPr>
        <w:pStyle w:val="Heading3"/>
      </w:pPr>
      <w:r>
        <w:t xml:space="preserve">4-3-1. Radial nodes (N_r)</w:t>
      </w:r>
    </w:p>
    <w:p>
      <w:pPr>
        <w:pStyle w:val="FirstParagraph"/>
      </w:pPr>
      <w:r>
        <w:rPr>
          <w:b/>
          <w:bCs/>
        </w:rPr>
        <w:t xml:space="preserve">Figure 4-1.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Radial-node convergence per layer (N_z=11, N_L=7); the field quantities are converged from N_r=7." title="" id="12" name="Picture"/>
            <a:graphic>
              <a:graphicData uri="http://schemas.openxmlformats.org/drawingml/2006/picture">
                <pic:pic>
                  <pic:nvPicPr>
                    <pic:cNvPr descr="figures_ch4_color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Radial-node convergence per layer (N_z=11, N_L=7); the field quantities are converged from N_r=7.</w:t>
      </w:r>
    </w:p>
    <w:p>
      <w:pPr>
        <w:pStyle w:val="BodyText"/>
      </w:pPr>
      <w:r>
        <w:t xml:space="preserve">Figure 4-1 shows the hoop-stress and temperature profiles for N_r = 7 … 15</w:t>
      </w:r>
      <w:r>
        <w:t xml:space="preserve"> </w:t>
      </w:r>
      <w:r>
        <w:t xml:space="preserve">(with N_z = 11, N_L = 7); the curves are visually indistinguishable. As Table 4-2</w:t>
      </w:r>
      <w:r>
        <w:t xml:space="preserve"> </w:t>
      </w:r>
      <w:r>
        <w:t xml:space="preserve">shows, the inner-surface hoop stress stays within 0.09 % and the L₂ profile error</w:t>
      </w:r>
      <w:r>
        <w:t xml:space="preserve"> </w:t>
      </w:r>
      <w:r>
        <w:t xml:space="preserve">below 0.29 % over the whole range, so the field quantities are converged from as</w:t>
      </w:r>
      <w:r>
        <w:t xml:space="preserve"> </w:t>
      </w:r>
      <w:r>
        <w:t xml:space="preserve">few as seven radial points — the hallmark of the spectral (Chebyshev) differential</w:t>
      </w:r>
      <w:r>
        <w:t xml:space="preserve"> </w:t>
      </w:r>
      <w:r>
        <w:t xml:space="preserve">quadrature discretization. N_r = 15 is nevertheless adopted for the production</w:t>
      </w:r>
      <w:r>
        <w:t xml:space="preserve"> </w:t>
      </w:r>
      <w:r>
        <w:t xml:space="preserve">runs because it renders the sharp, moving second-sound front in the temperature</w:t>
      </w:r>
      <w:r>
        <w:t xml:space="preserve"> </w:t>
      </w:r>
      <w:r>
        <w:t xml:space="preserve">profiles cleanly, without the localized oscillation a coarser mesh leaves when the</w:t>
      </w:r>
      <w:r>
        <w:t xml:space="preserve"> </w:t>
      </w:r>
      <w:r>
        <w:t xml:space="preserve">front sits between two nodes; this does not change any integral quantity.</w:t>
      </w:r>
    </w:p>
    <w:p>
      <w:pPr>
        <w:pStyle w:val="BodyText"/>
      </w:pPr>
      <w:r>
        <w:rPr>
          <w:b/>
          <w:bCs/>
        </w:rPr>
        <w:t xml:space="preserve">Table 4-2: Radial-node convergence (N_z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N_r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1.5251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1617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2079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</w:tbl>
    <w:bookmarkEnd w:id="14"/>
    <w:bookmarkStart w:id="18" w:name="axial-nodes-n_z"/>
    <w:p>
      <w:pPr>
        <w:pStyle w:val="Heading3"/>
      </w:pPr>
      <w:r>
        <w:t xml:space="preserve">4-3-2. Axial nodes (N_z)</w:t>
      </w:r>
    </w:p>
    <w:p>
      <w:pPr>
        <w:pStyle w:val="FirstParagraph"/>
      </w:pPr>
      <w:r>
        <w:rPr>
          <w:b/>
          <w:bCs/>
        </w:rPr>
        <w:t xml:space="preserve">Figure 4-2.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Axial-node convergence, the binding direction (N_r=15, N_L=7); N_z=5 gives a 9.4% error, with the clean serial cost." title="" id="16" name="Picture"/>
            <a:graphic>
              <a:graphicData uri="http://schemas.openxmlformats.org/drawingml/2006/picture">
                <pic:pic>
                  <pic:nvPicPr>
                    <pic:cNvPr descr="figures_ch4_color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Axial-node convergence, the binding direction (N_r=15, N_L=7); N_z=5 gives a 9.4% error, with the clean serial cost.</w:t>
      </w:r>
    </w:p>
    <w:p>
      <w:pPr>
        <w:pStyle w:val="BodyText"/>
      </w:pPr>
      <w:r>
        <w:t xml:space="preserve">The axial direction (Figure 4-2) governs the mesh. With only five axial points the</w:t>
      </w:r>
      <w:r>
        <w:t xml:space="preserve"> </w:t>
      </w:r>
      <w:r>
        <w:t xml:space="preserve">inner-surface hoop stress is in error by 9.4 %, because the simply-supported end</w:t>
      </w:r>
      <w:r>
        <w:t xml:space="preserve"> </w:t>
      </w:r>
      <w:r>
        <w:t xml:space="preserve">layer is left unresolved; the error then settles below about 1 % from nine points</w:t>
      </w:r>
      <w:r>
        <w:t xml:space="preserve"> </w:t>
      </w:r>
      <w:r>
        <w:t xml:space="preserve">onward (Table 4-3). The convergence is non-monotonic — the oscillatory envelope</w:t>
      </w:r>
      <w:r>
        <w:t xml:space="preserve"> </w:t>
      </w:r>
      <w:r>
        <w:t xml:space="preserve">typical of spectral methods — but is clearly settled by nine points, and eleven</w:t>
      </w:r>
      <w:r>
        <w:t xml:space="preserve"> </w:t>
      </w:r>
      <w:r>
        <w:t xml:space="preserve">points give an L₂ error of 0.16 %. Eleven axial points are adopted. This direction</w:t>
      </w:r>
      <w:r>
        <w:t xml:space="preserve"> </w:t>
      </w:r>
      <w:r>
        <w:t xml:space="preserve">is also the most expensive: the single-core solve time grows roughly as N_z^2.6</w:t>
      </w:r>
      <w:r>
        <w:t xml:space="preserve"> </w:t>
      </w:r>
      <w:r>
        <w:t xml:space="preserve">(Table 4-3), because each added axial point multiplies the entire through-thickness</w:t>
      </w:r>
      <w:r>
        <w:t xml:space="preserve"> </w:t>
      </w:r>
      <w:r>
        <w:t xml:space="preserve">system. The axial direction is therefore the binding one — both the least accurate</w:t>
      </w:r>
      <w:r>
        <w:t xml:space="preserve"> </w:t>
      </w:r>
      <w:r>
        <w:t xml:space="preserve">per node and the steepest in cost.</w:t>
      </w:r>
    </w:p>
    <w:p>
      <w:pPr>
        <w:pStyle w:val="BodyText"/>
      </w:pPr>
      <w:r>
        <w:rPr>
          <w:b/>
          <w:bCs/>
        </w:rPr>
        <w:t xml:space="preserve">Table 4-3: Axial-node convergence and cost (N_r = 15,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N_z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solve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1.3844</w:t>
            </w:r>
          </w:p>
        </w:tc>
        <w:tc>
          <w:tcPr/>
          <w:p>
            <w:pPr>
              <w:pStyle w:val="Compact"/>
            </w:pPr>
            <w:r>
              <w:t xml:space="preserve">3.92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1.5333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1.5434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1.5274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1.5278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1630</w:t>
            </w:r>
          </w:p>
        </w:tc>
      </w:tr>
    </w:tbl>
    <w:bookmarkEnd w:id="18"/>
    <w:bookmarkStart w:id="22" w:name="number-of-layers-n_l"/>
    <w:p>
      <w:pPr>
        <w:pStyle w:val="Heading3"/>
      </w:pPr>
      <w:r>
        <w:t xml:space="preserve">4-3-3. Number of layers (N_L)</w:t>
      </w:r>
    </w:p>
    <w:p>
      <w:pPr>
        <w:pStyle w:val="FirstParagraph"/>
      </w:pPr>
      <w:r>
        <w:rPr>
          <w:b/>
          <w:bCs/>
        </w:rPr>
        <w:t xml:space="preserve">Figure 4-3.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Layer-count convergence: hoop-stress and temperature profiles, L2 error and cost vs number of layers N_L (N_r=15, N_z=11)." title="" id="20" name="Picture"/>
            <a:graphic>
              <a:graphicData uri="http://schemas.openxmlformats.org/drawingml/2006/picture">
                <pic:pic>
                  <pic:nvPicPr>
                    <pic:cNvPr descr="figures_ch4_color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Layer-count convergence: hoop-stress and temperature profiles, L2 error and cost vs number of layers N_L (N_r=15, N_z=11).</w:t>
      </w:r>
    </w:p>
    <w:p>
      <w:pPr>
        <w:pStyle w:val="BodyText"/>
      </w:pPr>
      <w:r>
        <w:t xml:space="preserve">Figure 4-3 shows the profiles for N_L = 3 … 15 (N_r = 15, N_z = 11). The</w:t>
      </w:r>
      <w:r>
        <w:t xml:space="preserve"> </w:t>
      </w:r>
      <w:r>
        <w:t xml:space="preserve">inner-surface hoop stress varies by less than 0.05 % and the L₂ error stays below</w:t>
      </w:r>
      <w:r>
        <w:t xml:space="preserve"> </w:t>
      </w:r>
      <w:r>
        <w:t xml:space="preserve">0.26 % (Table 4-4); the field quantities are essentially layer-independent from</w:t>
      </w:r>
      <w:r>
        <w:t xml:space="preserve"> </w:t>
      </w:r>
      <w:r>
        <w:t xml:space="preserve">three layers. The only effect of more layers is a finer staircase in the</w:t>
      </w:r>
      <w:r>
        <w:t xml:space="preserve"> </w:t>
      </w:r>
      <w:r>
        <w:t xml:space="preserve">hoop-stress profile at the interfaces — the natural signature of the layerwise</w:t>
      </w:r>
      <w:r>
        <w:t xml:space="preserve"> </w:t>
      </w:r>
      <w:r>
        <w:t xml:space="preserve">property model. Seven layers are adopted, matching the seven-layer graded build of</w:t>
      </w:r>
      <w:r>
        <w:t xml:space="preserve"> </w:t>
      </w:r>
      <w:r>
        <w:t xml:space="preserve">the reference cylinder.</w:t>
      </w:r>
    </w:p>
    <w:p>
      <w:pPr>
        <w:pStyle w:val="BodyText"/>
      </w:pPr>
      <w:r>
        <w:rPr>
          <w:b/>
          <w:bCs/>
        </w:rPr>
        <w:t xml:space="preserve">Table 4-4: Layer convergence (N_r = 15,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N_L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1.5261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1.5257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2475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4455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1.5265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7425</w:t>
            </w:r>
          </w:p>
        </w:tc>
      </w:tr>
    </w:tbl>
    <w:bookmarkEnd w:id="22"/>
    <w:bookmarkStart w:id="23" w:name="time-step-δt"/>
    <w:p>
      <w:pPr>
        <w:pStyle w:val="Heading3"/>
      </w:pPr>
      <w:r>
        <w:t xml:space="preserve">4-3-4. Time step (Δt)</w:t>
      </w:r>
    </w:p>
    <w:p>
      <w:pPr>
        <w:pStyle w:val="FirstParagraph"/>
      </w:pPr>
      <w:r>
        <w:t xml:space="preserve">The time step is converged for Δt ≤ 2 s; at Δt = 5 s a spurious 3 % overshoot</w:t>
      </w:r>
      <w:r>
        <w:t xml:space="preserve"> </w:t>
      </w:r>
      <w:r>
        <w:t xml:space="preserve">appears in the peak temperature as the Newmark integrator under-resolves the sharp</w:t>
      </w:r>
      <w:r>
        <w:t xml:space="preserve"> </w:t>
      </w:r>
      <w:r>
        <w:t xml:space="preserve">thermal front (Table 4-5). Δt = 1 s is adopted, which resolves the shock with a</w:t>
      </w:r>
      <w:r>
        <w:t xml:space="preserve"> </w:t>
      </w:r>
      <w:r>
        <w:t xml:space="preserve">comfortable margin.</w:t>
      </w:r>
    </w:p>
    <w:p>
      <w:pPr>
        <w:pStyle w:val="BodyText"/>
      </w:pPr>
      <w:r>
        <w:rPr>
          <w:b/>
          <w:bCs/>
        </w:rPr>
        <w:t xml:space="preserve">Table 4-5: Time-step convergence (N_r = 15, 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Δt (s)</w:t>
            </w:r>
          </w:p>
        </w:tc>
        <w:tc>
          <w:tcPr/>
          <w:p>
            <w:pPr>
              <w:pStyle w:val="Compact"/>
            </w:pPr>
            <w:r>
              <w:t xml:space="preserve">time steps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3 % peak overshoot</w:t>
            </w:r>
          </w:p>
        </w:tc>
      </w:tr>
    </w:tbl>
    <w:p>
      <w:pPr>
        <w:pStyle w:val="BodyText"/>
      </w:pPr>
      <w:r>
        <w:t xml:space="preserve">Overall, the adopted production mesh (N_r = 15, N_z = 11, N_L = 7, Δt = 1 s)</w:t>
      </w:r>
      <w:r>
        <w:t xml:space="preserve"> </w:t>
      </w:r>
      <w:r>
        <w:t xml:space="preserve">delivers the field quantities to better than 0.2 %: the radial and layer directions</w:t>
      </w:r>
      <w:r>
        <w:t xml:space="preserve"> </w:t>
      </w:r>
      <w:r>
        <w:t xml:space="preserve">are effectively free, while the axial direction is the binding and most expensive</w:t>
      </w:r>
      <w:r>
        <w:t xml:space="preserve"> </w:t>
      </w:r>
      <w:r>
        <w:t xml:space="preserve">one. 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 taken</w:t>
      </w:r>
      <w:r>
        <w:t xml:space="preserve"> </w:t>
      </w:r>
      <w:r>
        <w:t xml:space="preserve">up separately in Section 4-19.</w:t>
      </w:r>
    </w:p>
    <w:bookmarkEnd w:id="23"/>
    <w:bookmarkEnd w:id="24"/>
    <w:bookmarkStart w:id="34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4-6.</w:t>
      </w:r>
    </w:p>
    <w:p>
      <w:pPr>
        <w:pStyle w:val="BodyText"/>
      </w:pPr>
      <w:r>
        <w:t xml:space="preserve">The three checks that compare against published or exact references are shown</w:t>
      </w:r>
      <w:r>
        <w:t xml:space="preserve"> </w:t>
      </w:r>
      <w:r>
        <w:t xml:space="preserve">below — the mechanical response against Malekzadeh &amp; Heydarpour and ANSYS, the</w:t>
      </w:r>
      <w:r>
        <w:t xml:space="preserve"> </w:t>
      </w:r>
      <w:r>
        <w:t xml:space="preserve">transient conduction against the exact Bessel-series solution, and the coupled</w:t>
      </w:r>
      <w:r>
        <w:t xml:space="preserve"> </w:t>
      </w:r>
      <w:r>
        <w:t xml:space="preserve">Lord-Shulman wave fronts against Bagri &amp; Eslami — with the present curves</w:t>
      </w:r>
      <w:r>
        <w:t xml:space="preserve"> </w:t>
      </w:r>
      <w:r>
        <w:t xml:space="preserve">coinciding with the references in every case.</w:t>
      </w:r>
    </w:p>
    <w:p>
      <w:pPr>
        <w:pStyle w:val="BodyText"/>
      </w:pPr>
      <w:r>
        <w:rPr>
          <w:b/>
          <w:bCs/>
        </w:rPr>
        <w:t xml:space="preserve">Figure 4-4.</w:t>
      </w:r>
    </w:p>
    <w:p>
      <w:pPr>
        <w:pStyle w:val="CaptionedFigure"/>
      </w:pPr>
      <w:r>
        <w:drawing>
          <wp:inline>
            <wp:extent cx="5334000" cy="3810348"/>
            <wp:effectExtent b="0" l="0" r="0" t="0"/>
            <wp:docPr descr="Verification (mechanical): dimensionless inner-surface radial displacement of the present solver against Malekzadeh &amp; Heydarpour (2012) and an independent ANSYS solution." title="" id="26" name="Picture"/>
            <a:graphic>
              <a:graphicData uri="http://schemas.openxmlformats.org/drawingml/2006/picture">
                <pic:pic>
                  <pic:nvPicPr>
                    <pic:cNvPr descr="figures_ch4_color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(mechanical): dimensionless inner-surface radial displacement of the present solver against Malekzadeh &amp; Heydarpour (2012) and an independent ANSYS solution.</w:t>
      </w:r>
    </w:p>
    <w:p>
      <w:pPr>
        <w:pStyle w:val="BodyText"/>
      </w:pPr>
      <w:r>
        <w:rPr>
          <w:b/>
          <w:bCs/>
        </w:rPr>
        <w:t xml:space="preserve">Figure 4-5.</w:t>
      </w:r>
    </w:p>
    <w:p>
      <w:pPr>
        <w:pStyle w:val="CaptionedFigure"/>
      </w:pPr>
      <w:r>
        <w:drawing>
          <wp:inline>
            <wp:extent cx="5334000" cy="3697845"/>
            <wp:effectExtent b="0" l="0" r="0" t="0"/>
            <wp:docPr descr="Verification (thermal): transient temperature profiles from the present DQM+Newmark solver against the exact Bessel-series solution at t = 2, 10 and 40 s." title="" id="29" name="Picture"/>
            <a:graphic>
              <a:graphicData uri="http://schemas.openxmlformats.org/drawingml/2006/picture">
                <pic:pic>
                  <pic:nvPicPr>
                    <pic:cNvPr descr="figures_ch4_color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(thermal): transient temperature profiles from the present DQM+Newmark solver against the exact Bessel-series solution at t = 2, 10 and 40 s.</w:t>
      </w:r>
    </w:p>
    <w:p>
      <w:pPr>
        <w:pStyle w:val="BodyText"/>
      </w:pPr>
      <w:r>
        <w:rPr>
          <w:b/>
          <w:bCs/>
        </w:rPr>
        <w:t xml:space="preserve">Figure 4-6.</w:t>
      </w:r>
    </w:p>
    <w:p>
      <w:pPr>
        <w:pStyle w:val="CaptionedFigure"/>
      </w:pPr>
      <w:r>
        <w:drawing>
          <wp:inline>
            <wp:extent cx="5334000" cy="3472656"/>
            <wp:effectExtent b="0" l="0" r="0" t="0"/>
            <wp:docPr descr="Verification (Lord-Shulman waves): second-sound temperature fronts through the wall against Bagri &amp; Eslami (2007), Fig. 2." title="" id="32" name="Picture"/>
            <a:graphic>
              <a:graphicData uri="http://schemas.openxmlformats.org/drawingml/2006/picture">
                <pic:pic>
                  <pic:nvPicPr>
                    <pic:cNvPr descr="figures_ch4_color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(Lord-Shulman waves): second-sound temperature fronts through the wall against Bagri &amp; Eslami (2007), Fig. 2.</w:t>
      </w:r>
    </w:p>
    <w:p>
      <w:pPr>
        <w:pStyle w:val="BodyText"/>
      </w:pPr>
      <w:r>
        <w:rPr>
          <w:b/>
          <w:bCs/>
        </w:rPr>
        <w:t xml:space="preserve">Table 4-6: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34"/>
    <w:bookmarkStart w:id="38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4-7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BodyText"/>
      </w:pPr>
      <w:r>
        <w:rPr>
          <w:b/>
          <w:bCs/>
        </w:rPr>
        <w:t xml:space="preserve">Figure 4-7.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distribution pattern (UD, O, X, V, A): mid-point T* and U* histories vs Fo and the final T*, hoop-stress profiles vs xi." title="" id="36" name="Picture"/>
            <a:graphic>
              <a:graphicData uri="http://schemas.openxmlformats.org/drawingml/2006/picture">
                <pic:pic>
                  <pic:nvPicPr>
                    <pic:cNvPr descr="figures_ch4_color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distribution pattern (UD, O, X, V, A): mid-point T* and U* histories vs Fo and the final T*, hoop-stress profiles vs xi.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p>
      <w:pPr>
        <w:pStyle w:val="BodyText"/>
      </w:pPr>
      <w:r>
        <w:t xml:space="preserve">A feature common to all the hoop-stress profiles is a set of step jumps at the</w:t>
      </w:r>
      <w:r>
        <w:t xml:space="preserve"> </w:t>
      </w:r>
      <w:r>
        <w:t xml:space="preserve">layer interfaces: wherever the layer stiffness changes, Σθθ is genuinely</w:t>
      </w:r>
      <w:r>
        <w:t xml:space="preserve"> </w:t>
      </w:r>
      <w:r>
        <w:t xml:space="preserve">discontinuous, so the graded patterns (O, X, V, A) show a staircase while the</w:t>
      </w:r>
      <w:r>
        <w:t xml:space="preserve"> </w:t>
      </w:r>
      <w:r>
        <w:t xml:space="preserve">uniform UD profile is smooth. These jumps are the physical signature of the</w:t>
      </w:r>
      <w:r>
        <w:t xml:space="preserve"> </w:t>
      </w:r>
      <w:r>
        <w:t xml:space="preserve">piecewise-layered material — not a numerical artifact — and they refine as the</w:t>
      </w:r>
      <w:r>
        <w:t xml:space="preserve"> </w:t>
      </w:r>
      <w:r>
        <w:t xml:space="preserve">layer count grows (Section 4-3). Where a parametric change is severe enough to</w:t>
      </w:r>
      <w:r>
        <w:t xml:space="preserve"> </w:t>
      </w:r>
      <w:r>
        <w:t xml:space="preserve">reverse the sign of the inner-surface hoop stress (as in the porosity-A, high</w:t>
      </w:r>
      <w:r>
        <w:t xml:space="preserve"> </w:t>
      </w:r>
      <w:r>
        <w:t xml:space="preserve">weight-fraction, thick-wall and short-length cases below), that reversal is</w:t>
      </w:r>
      <w:r>
        <w:t xml:space="preserve"> </w:t>
      </w:r>
      <w:r>
        <w:t xml:space="preserve">flagged and explained in the corresponding section.</w:t>
      </w:r>
    </w:p>
    <w:bookmarkEnd w:id="38"/>
    <w:bookmarkStart w:id="45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4-8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BodyText"/>
      </w:pPr>
      <w:r>
        <w:rPr>
          <w:b/>
          <w:bCs/>
        </w:rPr>
        <w:t xml:space="preserve">Figure 4-8.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orosity distribution pattern (UD, O, X, V, A), GPL kept uniform; pattern A acts as a thermal barrier." title="" id="40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porosity distribution pattern (UD, O, X, V, A), GPL kept uniform; pattern A acts as a thermal barrier.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BodyText"/>
      </w:pPr>
      <w:r>
        <w:rPr>
          <w:b/>
          <w:bCs/>
        </w:rPr>
        <w:t xml:space="preserve">Figure 4-9.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orosity level e_m3 = 0.9675 / 0.8604 / 0.7776 (light / moderate / heavy)." title="" id="43" name="Picture"/>
            <a:graphic>
              <a:graphicData uri="http://schemas.openxmlformats.org/drawingml/2006/picture">
                <pic:pic>
                  <pic:nvPicPr>
                    <pic:cNvPr descr="figures_ch4_color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porosity level e_m3 = 0.9675 / 0.8604 / 0.7776 (light / moderate / heavy).</w:t>
      </w:r>
    </w:p>
    <w:p>
      <w:pPr>
        <w:pStyle w:val="BodyText"/>
      </w:pPr>
      <w:r>
        <w:t xml:space="preserve">Finally, the effect of the overall porosity level is shown in Figure 4-9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45"/>
    <w:bookmarkStart w:id="52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FirstParagraph"/>
      </w:pPr>
      <w:r>
        <w:rPr>
          <w:b/>
          <w:bCs/>
        </w:rPr>
        <w:t xml:space="preserve">Figure 4-10.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weight fraction, low range W = 0.1 / 0.3 / 0.5 / 0.9 / 1.5 %." title="" id="47" name="Picture"/>
            <a:graphic>
              <a:graphicData uri="http://schemas.openxmlformats.org/drawingml/2006/picture">
                <pic:pic>
                  <pic:nvPicPr>
                    <pic:cNvPr descr="figures_ch4_color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weight fraction, low range W = 0.1 / 0.3 / 0.5 / 0.9 / 1.5 %.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4-10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BodyText"/>
      </w:pPr>
      <w:r>
        <w:rPr>
          <w:b/>
          <w:bCs/>
        </w:rPr>
        <w:t xml:space="preserve">Figure 4-11.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weight fraction, high range W = 1 / 2 / 4 / 8 %; the thermal gain saturates while the stresses grow." title="" id="50" name="Picture"/>
            <a:graphic>
              <a:graphicData uri="http://schemas.openxmlformats.org/drawingml/2006/picture">
                <pic:pic>
                  <pic:nvPicPr>
                    <pic:cNvPr descr="figures_ch4_color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weight fraction, high range W = 1 / 2 / 4 / 8 %; the thermal gain saturates while the stresses grow.</w:t>
      </w:r>
    </w:p>
    <w:p>
      <w:pPr>
        <w:pStyle w:val="BodyText"/>
      </w:pPr>
      <w:r>
        <w:t xml:space="preserve">The higher range W = 1, 2, 4 and 8 % is shown in Figure 4-11.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52"/>
    <w:bookmarkStart w:id="59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BodyText"/>
      </w:pPr>
      <w:r>
        <w:rPr>
          <w:b/>
          <w:bCs/>
        </w:rPr>
        <w:t xml:space="preserve">Figure 4-12.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latelet length-to-width aspect ratio a/b = 1.0 / 1.67 / 2.67." title="" id="54" name="Picture"/>
            <a:graphic>
              <a:graphicData uri="http://schemas.openxmlformats.org/drawingml/2006/picture">
                <pic:pic>
                  <pic:nvPicPr>
                    <pic:cNvPr descr="figures_ch4_color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platelet length-to-width aspect ratio a/b = 1.0 / 1.67 / 2.67.</w:t>
      </w:r>
    </w:p>
    <w:p>
      <w:pPr>
        <w:pStyle w:val="BodyText"/>
      </w:pPr>
      <w:r>
        <w:t xml:space="preserve">The effect of the length-to-width ratio is shown in Figure 4-12.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BodyText"/>
      </w:pPr>
      <w:r>
        <w:rPr>
          <w:b/>
          <w:bCs/>
        </w:rPr>
        <w:t xml:space="preserve">Figure 4-13.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latelet width-to-thickness aspect ratio b/t = 500 / 1000 / 2000." title="" id="57" name="Picture"/>
            <a:graphic>
              <a:graphicData uri="http://schemas.openxmlformats.org/drawingml/2006/picture">
                <pic:pic>
                  <pic:nvPicPr>
                    <pic:cNvPr descr="figures_ch4_color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platelet width-to-thickness aspect ratio b/t = 500 / 1000 / 2000.</w:t>
      </w:r>
    </w:p>
    <w:p>
      <w:pPr>
        <w:pStyle w:val="BodyText"/>
      </w:pPr>
      <w:r>
        <w:t xml:space="preserve">The width-to-thickness ratio (Figure 4-13)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59"/>
    <w:bookmarkStart w:id="63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FirstParagraph"/>
      </w:pPr>
      <w:r>
        <w:rPr>
          <w:b/>
          <w:bCs/>
        </w:rPr>
        <w:t xml:space="preserve">Figure 4-14.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relaxation time: Fourier (tau=0) and Lord-Shulman tau = 0.04 / 0.15 / 0.44 / 0.87; overshoot grows with tau*." title="" id="61" name="Picture"/>
            <a:graphic>
              <a:graphicData uri="http://schemas.openxmlformats.org/drawingml/2006/picture">
                <pic:pic>
                  <pic:nvPicPr>
                    <pic:cNvPr descr="figures_ch4_color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relaxation time: Fourier (tau</w:t>
      </w:r>
      <w:r>
        <w:rPr>
          <w:i/>
          <w:iCs/>
        </w:rPr>
        <w:t xml:space="preserve">=0) and Lord-Shulman tau</w:t>
      </w:r>
      <w:r>
        <w:t xml:space="preserve"> </w:t>
      </w:r>
      <w:r>
        <w:t xml:space="preserve">= 0.04 / 0.15 / 0.44 / 0.87; overshoot grows with tau*.</w:t>
      </w:r>
    </w:p>
    <w:p>
      <w:pPr>
        <w:pStyle w:val="BodyText"/>
      </w:pPr>
      <w:r>
        <w:t xml:space="preserve">Figure 4-14 compares Fourier conduction (τ* = 0) with four dimensionless</w:t>
      </w:r>
      <w:r>
        <w:t xml:space="preserve"> </w:t>
      </w:r>
      <w:r>
        <w:t xml:space="preserve">relaxation times τ* = 0.04, 0.15, 0.44 and 0.87.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0.962, 1.166 and 1.271 as τ* increases, and for the two larger values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1.271 at</w:t>
      </w:r>
      <w:r>
        <w:t xml:space="preserve"> </w:t>
      </w:r>
      <w:r>
        <w:t xml:space="preserve">τ* = 0.87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63"/>
    <w:bookmarkStart w:id="67" w:name="effect-of-the-end-supports"/>
    <w:p>
      <w:pPr>
        <w:pStyle w:val="Heading2"/>
      </w:pPr>
      <w:r>
        <w:t xml:space="preserve">4-10. Effect of the end supports</w:t>
      </w:r>
    </w:p>
    <w:p>
      <w:pPr>
        <w:pStyle w:val="FirstParagraph"/>
      </w:pPr>
      <w:r>
        <w:rPr>
          <w:b/>
          <w:bCs/>
        </w:rPr>
        <w:t xml:space="preserve">Figure 4-15.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end supports: simply supported (S-S), mixed (S-C) and clamped (C-C)." title="" id="65" name="Picture"/>
            <a:graphic>
              <a:graphicData uri="http://schemas.openxmlformats.org/drawingml/2006/picture">
                <pic:pic>
                  <pic:nvPicPr>
                    <pic:cNvPr descr="figures_ch4_color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end supports: simply supported (S-S), mixed (S-C) and clamped (C-C).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4-15,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7"/>
    <w:bookmarkStart w:id="71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BodyText"/>
      </w:pPr>
      <w:r>
        <w:rPr>
          <w:b/>
          <w:bCs/>
        </w:rPr>
        <w:t xml:space="preserve">Figure 4-16.</w:t>
      </w:r>
    </w:p>
    <w:p>
      <w:pPr>
        <w:pStyle w:val="CaptionedFigure"/>
      </w:pPr>
      <w:r>
        <w:drawing>
          <wp:inline>
            <wp:extent cx="5334000" cy="3164350"/>
            <wp:effectExtent b="0" l="0" r="0" t="0"/>
            <wp:docPr descr="Effect of the internal pressure P_i = 0 / 10 / 50 / 100 MPa; the mechanical response grows linearly." title="" id="69" name="Picture"/>
            <a:graphic>
              <a:graphicData uri="http://schemas.openxmlformats.org/drawingml/2006/picture">
                <pic:pic>
                  <pic:nvPicPr>
                    <pic:cNvPr descr="figures_ch4_color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internal pressure P_i = 0 / 10 / 50 / 100 MPa; the mechanical response grows linearly.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71"/>
    <w:bookmarkStart w:id="75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FirstParagraph"/>
      </w:pPr>
      <w:r>
        <w:rPr>
          <w:b/>
          <w:bCs/>
        </w:rPr>
        <w:t xml:space="preserve">Figure 4-17.</w:t>
      </w:r>
    </w:p>
    <w:p>
      <w:pPr>
        <w:pStyle w:val="CaptionedFigure"/>
      </w:pPr>
      <w:r>
        <w:drawing>
          <wp:inline>
            <wp:extent cx="5334000" cy="3164350"/>
            <wp:effectExtent b="0" l="0" r="0" t="0"/>
            <wp:docPr descr="Effect of the cylinder length L = 1 / 2.1 / 5 / 10 m and the approach to the long-cylinder limit." title="" id="73" name="Picture"/>
            <a:graphic>
              <a:graphicData uri="http://schemas.openxmlformats.org/drawingml/2006/picture">
                <pic:pic>
                  <pic:nvPicPr>
                    <pic:cNvPr descr="figures_ch4_color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cylinder length L = 1 / 2.1 / 5 / 10 m and the approach to the long-cylinder limit.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4-17,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75"/>
    <w:bookmarkStart w:id="82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4-18.</w:t>
      </w:r>
    </w:p>
    <w:p>
      <w:pPr>
        <w:pStyle w:val="BodyText"/>
      </w:pPr>
      <w:r>
        <w:rPr>
          <w:b/>
          <w:bCs/>
        </w:rPr>
        <w:t xml:space="preserve">Figure 4-18.</w:t>
      </w:r>
    </w:p>
    <w:p>
      <w:pPr>
        <w:pStyle w:val="CaptionedFigure"/>
      </w:pPr>
      <w:r>
        <w:drawing>
          <wp:inline>
            <wp:extent cx="5334000" cy="3982720"/>
            <wp:effectExtent b="0" l="0" r="0" t="0"/>
            <wp:docPr descr="Full 25-case GPL x porosity matrix: through-wall dimensionless temperature T*(xi) for every pattern pair; porosity A is a universal thermal barrier." title="" id="77" name="Picture"/>
            <a:graphic>
              <a:graphicData uri="http://schemas.openxmlformats.org/drawingml/2006/picture">
                <pic:pic>
                  <pic:nvPicPr>
                    <pic:cNvPr descr="figures_ch4_color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25-case GPL x porosity matrix: through-wall dimensionless temperature T*(xi) for every pattern pair; porosity A is a universal thermal barrier.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/>
          <w:bCs/>
        </w:rPr>
        <w:t xml:space="preserve">Figure 4-19.</w:t>
      </w:r>
    </w:p>
    <w:p>
      <w:pPr>
        <w:pStyle w:val="CaptionedFigure"/>
      </w:pPr>
      <w:r>
        <w:drawing>
          <wp:inline>
            <wp:extent cx="5334000" cy="2724605"/>
            <wp:effectExtent b="0" l="0" r="0" t="0"/>
            <wp:docPr descr="Full 25-case GPL x porosity matrix: hoop-stress profile Sigma_thth(xi) for every pattern pair." title="" id="80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25-case GPL x porosity matrix: hoop-stress profile Sigma_thth(xi) for every pattern pair.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82"/>
    <w:bookmarkStart w:id="86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FirstParagraph"/>
      </w:pPr>
      <w:r>
        <w:rPr>
          <w:b/>
          <w:bCs/>
        </w:rPr>
        <w:t xml:space="preserve">Figure 4-20.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rmo-mechanical coupling: fully coupled versus uncoupled energy equation." title="" id="84" name="Picture"/>
            <a:graphic>
              <a:graphicData uri="http://schemas.openxmlformats.org/drawingml/2006/picture">
                <pic:pic>
                  <pic:nvPicPr>
                    <pic:cNvPr descr="figures_ch4_color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thermo-mechanical coupling: fully coupled versus uncoupled energy equation.</w:t>
      </w:r>
    </w:p>
    <w:p>
      <w:pPr>
        <w:pStyle w:val="BodyText"/>
      </w:pPr>
      <w:r>
        <w:t xml:space="preserve">Figure 4-20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86"/>
    <w:bookmarkStart w:id="90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FirstParagraph"/>
      </w:pPr>
      <w:r>
        <w:rPr>
          <w:b/>
          <w:bCs/>
        </w:rPr>
        <w:t xml:space="preserve">Figure 4-21.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outer-surface convection coefficient h_c = 10 / 100 / 1000 W/m2K." title="" id="88" name="Picture"/>
            <a:graphic>
              <a:graphicData uri="http://schemas.openxmlformats.org/drawingml/2006/picture">
                <pic:pic>
                  <pic:nvPicPr>
                    <pic:cNvPr descr="figures_ch4_color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outer-surface convection coefficient h_c = 10 / 100 / 1000 W/m2K.</w:t>
      </w:r>
    </w:p>
    <w:p>
      <w:pPr>
        <w:pStyle w:val="BodyText"/>
      </w:pPr>
      <w:r>
        <w:t xml:space="preserve">Figure 4-21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90"/>
    <w:bookmarkStart w:id="94" w:name="effect-of-the-wall-thickness"/>
    <w:p>
      <w:pPr>
        <w:pStyle w:val="Heading2"/>
      </w:pPr>
      <w:r>
        <w:t xml:space="preserve">4-16. Effect of the wall thickness</w:t>
      </w:r>
    </w:p>
    <w:p>
      <w:pPr>
        <w:pStyle w:val="FirstParagraph"/>
      </w:pPr>
      <w:r>
        <w:rPr>
          <w:b/>
          <w:bCs/>
        </w:rPr>
        <w:t xml:space="preserve">Figure 4-22.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wall thickness, radius ratio R_o/R_i = 1.25 / 1.5 / 2.0 (inner radius fixed)." title="" id="92" name="Picture"/>
            <a:graphic>
              <a:graphicData uri="http://schemas.openxmlformats.org/drawingml/2006/picture">
                <pic:pic>
                  <pic:nvPicPr>
                    <pic:cNvPr descr="figures_ch4_color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wall thickness, radius ratio R_o/R_i = 1.25 / 1.5 / 2.0 (inner radius fixed).</w:t>
      </w:r>
    </w:p>
    <w:p>
      <w:pPr>
        <w:pStyle w:val="BodyText"/>
      </w:pPr>
      <w:r>
        <w:t xml:space="preserve">Figure 4-22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94"/>
    <w:bookmarkStart w:id="98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FirstParagraph"/>
      </w:pPr>
      <w:r>
        <w:rPr>
          <w:b/>
          <w:bCs/>
        </w:rPr>
        <w:t xml:space="preserve">Figure 4-23.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Response to a Gaussian thermal shock: Lord-Shulman versus Fourier; the LS pulse arrives later, stronger and persists." title="" id="96" name="Picture"/>
            <a:graphic>
              <a:graphicData uri="http://schemas.openxmlformats.org/drawingml/2006/picture">
                <pic:pic>
                  <pic:nvPicPr>
                    <pic:cNvPr descr="figures_ch4_color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to a Gaussian thermal shock: Lord-Shulman versus Fourier; the LS pulse arrives later, stronger and persists.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4-23).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Lord-Shulman solution shows a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98"/>
    <w:bookmarkStart w:id="99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4-7.</w:t>
      </w:r>
    </w:p>
    <w:p>
      <w:pPr>
        <w:pStyle w:val="BodyText"/>
      </w:pPr>
      <w:r>
        <w:rPr>
          <w:b/>
          <w:bCs/>
        </w:rPr>
        <w:t xml:space="preserve">Table 4-7: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99"/>
    <w:bookmarkStart w:id="100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100"/>
    <w:bookmarkStart w:id="104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FirstParagraph"/>
      </w:pPr>
      <w:r>
        <w:rPr>
          <w:b/>
          <w:bCs/>
        </w:rPr>
        <w:t xml:space="preserve">Figure 4-24.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Comparison of the generalized thermoelasticity theories: Fourier / Lord-Shulman / dual-phase-lag / Green-Naghdi III." title="" id="102" name="Picture"/>
            <a:graphic>
              <a:graphicData uri="http://schemas.openxmlformats.org/drawingml/2006/picture">
                <pic:pic>
                  <pic:nvPicPr>
                    <pic:cNvPr descr="figures_ch4_color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of the generalized thermoelasticity theories: Fourier / Lord-Shulman / dual-phase-lag / Green-Naghdi III.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4-24,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104"/>
    <w:bookmarkStart w:id="105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1.271 at τ* = 0.87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2026-08-02T13:50:15Z</dcterms:created>
  <dcterms:modified xsi:type="dcterms:W3CDTF">2026-08-02T13:50:15Z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