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0e81c39be545b5027186187a40552ffc9366abb"/>
    <w:p>
      <w:pPr>
        <w:pStyle w:val="Heading1"/>
        <w:bidi/>
      </w:pPr>
      <w:r>
        <w:rPr>
          <w:rtl/>
        </w:rPr>
        <w:t xml:space="preserve">سند پیشنهادهای بهبودِ پروژه (فصل چهارم و زیرساخت آن)</w:t>
      </w:r>
    </w:p>
    <w:p>
      <w:pPr>
        <w:bidi/>
      </w:pPr>
      <w:r>
        <w:rPr>
          <w:rtl/>
        </w:rPr>
        <w:t xml:space="preserve">این سند فهرستی اولویت‌بندی‌شده از بهبودهای پیشنهادی برای</w:t>
      </w:r>
      <w:r>
        <w:rPr>
          <w:rtl/>
        </w:rPr>
        <w:t xml:space="preserve"> </w:t>
      </w:r>
      <w:r>
        <w:rPr>
          <w:b/>
          <w:bCs/>
          <w:rtl/>
        </w:rPr>
        <w:t xml:space="preserve">پروژهٔ پژوهشی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مدلِ فیزیکی، طرحِ عددی، پوششِ صحت‌سنجی، مطالعاتِ پارامتری، کیفیتِ کد و ارائهٔ</w:t>
      </w:r>
      <w:r>
        <w:rPr>
          <w:rtl/>
        </w:rPr>
        <w:t xml:space="preserve"> </w:t>
      </w:r>
      <w:r>
        <w:rPr>
          <w:rtl/>
        </w:rPr>
        <w:t xml:space="preserve">نتایجِ فصل چهارم — است. فصل‌های مقدماتی موضوعِ این سند نیستند. هر پیشنهاد به</w:t>
      </w:r>
      <w:r>
        <w:rPr>
          <w:rtl/>
        </w:rPr>
        <w:t xml:space="preserve"> </w:t>
      </w:r>
      <w:r>
        <w:rPr>
          <w:rtl/>
        </w:rPr>
        <w:t xml:space="preserve">یک مشاهدهٔ مشخص در فایل‌های فعلی گره خورده و شاملِ سه بخش است:</w:t>
      </w:r>
      <w:r>
        <w:rPr>
          <w:rtl/>
        </w:rPr>
        <w:t xml:space="preserve"> </w:t>
      </w:r>
      <w:r>
        <w:rPr>
          <w:b/>
          <w:bCs/>
          <w:rtl/>
        </w:rPr>
        <w:t xml:space="preserve">چه</w:t>
      </w:r>
      <w:r>
        <w:rPr>
          <w:rtl/>
        </w:rPr>
        <w:t xml:space="preserve"> </w:t>
      </w:r>
      <w:r>
        <w:rPr>
          <w:rtl/>
        </w:rPr>
        <w:t xml:space="preserve">بهبود</w:t>
      </w:r>
      <w:r>
        <w:rPr>
          <w:rtl/>
        </w:rPr>
        <w:t xml:space="preserve"> </w:t>
      </w:r>
      <w:r>
        <w:rPr>
          <w:rtl/>
        </w:rPr>
        <w:t xml:space="preserve">یابد،</w:t>
      </w:r>
      <w:r>
        <w:rPr>
          <w:rtl/>
        </w:rPr>
        <w:t xml:space="preserve"> </w:t>
      </w:r>
      <w:r>
        <w:rPr>
          <w:b/>
          <w:bCs/>
          <w:rtl/>
        </w:rPr>
        <w:t xml:space="preserve">چرا</w:t>
      </w:r>
      <w:r>
        <w:rPr>
          <w:rtl/>
        </w:rPr>
        <w:t xml:space="preserve">، و</w:t>
      </w:r>
      <w:r>
        <w:rPr>
          <w:rtl/>
        </w:rPr>
        <w:t xml:space="preserve"> </w:t>
      </w:r>
      <w:r>
        <w:rPr>
          <w:b/>
          <w:bCs/>
          <w:rtl/>
        </w:rPr>
        <w:t xml:space="preserve">برآوردِ تلاش</w:t>
      </w:r>
      <w:r>
        <w:rPr>
          <w:rtl/>
        </w:rPr>
        <w:t xml:space="preserve"> </w:t>
      </w:r>
      <w:r>
        <w:rPr>
          <w:rtl/>
        </w:rPr>
        <w:t xml:space="preserve">(کم / متوسط / زیاد). موارد گمانه‌ای با نشانِ</w:t>
      </w:r>
      <w:r>
        <w:rPr>
          <w:rtl/>
        </w:rPr>
        <w:t xml:space="preserve"> </w:t>
      </w:r>
      <w:r>
        <w:rPr>
          <w:rtl/>
        </w:rPr>
        <w:t xml:space="preserve">«[گمانه‌ای]» مشخص شده‌اند. اولویت‌ها با</w:t>
      </w:r>
      <w:r>
        <w:rPr>
          <w:rtl/>
        </w:rPr>
        <w:t xml:space="preserve"> </w:t>
      </w:r>
      <w:r>
        <w:rPr>
          <w:b/>
          <w:bCs/>
          <w:rtl/>
        </w:rPr>
        <w:t xml:space="preserve">بالا / متوسط / کم</w:t>
      </w:r>
      <w:r>
        <w:rPr>
          <w:rtl/>
        </w:rPr>
        <w:t xml:space="preserve"> </w:t>
      </w:r>
      <w:r>
        <w:rPr>
          <w:rtl/>
        </w:rPr>
        <w:t xml:space="preserve">رتبه‌بندی شده‌اند.</w:t>
      </w:r>
    </w:p>
    <w:p>
      <w:pPr>
        <w:bidi/>
      </w:pPr>
      <w:r>
        <w:rPr>
          <w:rtl/>
        </w:rPr>
        <w:t xml:space="preserve">قاعدهٔ کاریِ پروژه (بازننوشتنِ کدِ کارآمد) در همهٔ پیشنهادهای کدی لحاظ شده است:</w:t>
      </w:r>
      <w:r>
        <w:rPr>
          <w:rtl/>
        </w:rPr>
        <w:t xml:space="preserve"> </w:t>
      </w:r>
      <w:r>
        <w:rPr>
          <w:rtl/>
        </w:rPr>
        <w:t xml:space="preserve">هر تغییرِ کدی باید در یک</w:t>
      </w:r>
      <w:r>
        <w:rPr>
          <w:rtl/>
        </w:rPr>
        <w:t xml:space="preserve"> </w:t>
      </w:r>
      <w:r>
        <w:rPr>
          <w:b/>
          <w:bCs/>
          <w:rtl/>
        </w:rPr>
        <w:t xml:space="preserve">بازنگریِ تازه</w:t>
      </w:r>
      <w:r>
        <w:rPr>
          <w:rtl/>
        </w:rPr>
        <w:t xml:space="preserve"> </w:t>
      </w:r>
      <w:r>
        <w:rPr>
          <w:rtl/>
        </w:rPr>
        <w:t xml:space="preserve">(برای نمونه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LSTE_solver_R8.m</w:t>
      </w:r>
      <w:r>
        <w:rPr>
          <w:rtl/>
        </w:rPr>
        <w:t xml:space="preserve">) و با</w:t>
      </w:r>
      <w:r>
        <w:rPr>
          <w:rtl/>
        </w:rPr>
        <w:t xml:space="preserve"> </w:t>
      </w:r>
      <w:r>
        <w:rPr>
          <w:rtl/>
        </w:rPr>
        <w:t xml:space="preserve">آزمونِ پس‌رفتِ رقم‌به‌رقم در برابر R7 انجام شود، نه با ویرایشِ درجای R7.</w:t>
      </w:r>
    </w:p>
    <w:p>
      <w:r>
        <w:pict>
          <v:rect style="width:0;height:1.5pt" o:hralign="center" o:hrstd="t" o:hr="t"/>
        </w:pict>
      </w:r>
    </w:p>
    <w:bookmarkStart w:id="14" w:name="مدل-فیزیکی-و-فرضها"/>
    <w:p>
      <w:pPr>
        <w:pStyle w:val="Heading2"/>
        <w:bidi/>
      </w:pPr>
      <w:r>
        <w:rPr>
          <w:rtl/>
        </w:rPr>
        <w:t xml:space="preserve">۱. مدلِ فیزیکی و فرض‌ها</w:t>
      </w:r>
    </w:p>
    <w:bookmarkStart w:id="9" w:name="Xceb5d526a72b932541297f7c0adbd6f46984c9e"/>
    <w:p>
      <w:pPr>
        <w:pStyle w:val="Heading3"/>
        <w:bidi/>
      </w:pPr>
      <w:r>
        <w:rPr>
          <w:rtl/>
        </w:rPr>
        <w:t xml:space="preserve">۱-۱ [اولویت: بالا] خواصِ مادی مستقل از دما فرض شده‌اند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LSTE_solver_R7.m</w:t>
      </w:r>
      <w:r>
        <w:rPr>
          <w:rtl/>
        </w:rPr>
        <w:t xml:space="preserve"> </w:t>
      </w:r>
      <w:r>
        <w:rPr>
          <w:rtl/>
        </w:rPr>
        <w:t xml:space="preserve">همهٔ خواص (E، k، α، c، ρ) در بخش ۳ یک‌بار پیش از حلقهٔ</w:t>
      </w:r>
      <w:r>
        <w:rPr>
          <w:rtl/>
        </w:rPr>
        <w:t xml:space="preserve"> </w:t>
      </w:r>
      <w:r>
        <w:rPr>
          <w:rtl/>
        </w:rPr>
        <w:t xml:space="preserve">زمانی و مستقل از دما محاسبه می‌شوند؛ هیچ وابستگیِ E(T)، k(T) یا α(T) در مدل</w:t>
      </w:r>
      <w:r>
        <w:rPr>
          <w:rtl/>
        </w:rPr>
        <w:t xml:space="preserve"> </w:t>
      </w:r>
      <w:r>
        <w:rPr>
          <w:rtl/>
        </w:rPr>
        <w:t xml:space="preserve">نیست. پیشنهاد: افزودنِ یک گزینهٔ خواصِ وابسته به دما (دست‌کم برای k و α) در یک</w:t>
      </w:r>
      <w:r>
        <w:rPr>
          <w:rtl/>
        </w:rPr>
        <w:t xml:space="preserve"> </w:t>
      </w:r>
      <w:r>
        <w:rPr>
          <w:rtl/>
        </w:rPr>
        <w:t xml:space="preserve">بازنگریِ تازه.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بارگذاریِ مرجعِ فصل ۴ سطح داخلی را از ۳۰۰ به ۶۰۰ کلوین می‌برد —</w:t>
      </w:r>
      <w:r>
        <w:rPr>
          <w:rtl/>
        </w:rPr>
        <w:t xml:space="preserve"> </w:t>
      </w:r>
      <w:r>
        <w:rPr>
          <w:rtl/>
        </w:rPr>
        <w:t xml:space="preserve">دو برابر شدنِ دمای مطلق. در این بازه، k و α و E موادِ زمینه و گرافن عملاً ثابت</w:t>
      </w:r>
      <w:r>
        <w:rPr>
          <w:rtl/>
        </w:rPr>
        <w:t xml:space="preserve"> </w:t>
      </w:r>
      <w:r>
        <w:rPr>
          <w:rtl/>
        </w:rPr>
        <w:t xml:space="preserve">نمی‌مانند و مسئله در واقع غیرخطی است. مدلِ خطیِ فعلی می‌تواند بیشینهٔ تنش و دما</w:t>
      </w:r>
      <w:r>
        <w:rPr>
          <w:rtl/>
        </w:rPr>
        <w:t xml:space="preserve"> </w:t>
      </w:r>
      <w:r>
        <w:rPr>
          <w:rtl/>
        </w:rPr>
        <w:t xml:space="preserve">را به‌طور نظام‌مند دست‌کم یا دست‌بالا بگیرد، به‌ویژه در مطالعهٔ ضخامت جداره که</w:t>
      </w:r>
      <w:r>
        <w:rPr>
          <w:rtl/>
        </w:rPr>
        <w:t xml:space="preserve"> </w:t>
      </w:r>
      <w:r>
        <w:rPr>
          <w:rtl/>
        </w:rPr>
        <w:t xml:space="preserve">اختلاف دمای عرضِ‌جداره بزرگ است.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متوسط تا زیاد (لازمهٔ آن، حلقهٔ نیوتنِ بیرونی یا به‌روزرسانیِ خواص در</w:t>
      </w:r>
      <w:r>
        <w:rPr>
          <w:rtl/>
        </w:rPr>
        <w:t xml:space="preserve"> </w:t>
      </w:r>
      <w:r>
        <w:rPr>
          <w:rtl/>
        </w:rPr>
        <w:t xml:space="preserve">هر گام است؛ پایداریِ نیومارک باید بازآزموده شود).</w:t>
      </w:r>
    </w:p>
    <w:bookmarkEnd w:id="9"/>
    <w:bookmarkStart w:id="10" w:name="X68b0726c7f84140922b98e8e65bddae3b8f35c6"/>
    <w:p>
      <w:pPr>
        <w:pStyle w:val="Heading3"/>
        <w:bidi/>
      </w:pPr>
      <w:r>
        <w:rPr>
          <w:rtl/>
        </w:rPr>
        <w:t xml:space="preserve">۱-۲ [اولویت: بالا] نبودِ مدلِ آسیب/شکست؛ حدِ اعتبارِ نتایجِ تنش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بخش ۴-۱۱ صراحتاً می‌گوید در فشار ۱۰۰ مگاپاسکال «هیچ گسستی رخ نمی‌دهد،</w:t>
      </w:r>
      <w:r>
        <w:rPr>
          <w:rtl/>
        </w:rPr>
        <w:t xml:space="preserve"> </w:t>
      </w:r>
      <w:r>
        <w:rPr>
          <w:rtl/>
        </w:rPr>
        <w:t xml:space="preserve">زیرا گسیختگیِ فیزیکی در مدل خطیِ حاضر گنجانده نشده است». پیشنهاد: افزودنِ یک</w:t>
      </w:r>
      <w:r>
        <w:rPr>
          <w:rtl/>
        </w:rPr>
        <w:t xml:space="preserve"> </w:t>
      </w:r>
      <w:r>
        <w:rPr>
          <w:rtl/>
        </w:rPr>
        <w:t xml:space="preserve">پساپردازِ معیارِ شکست (تنش تسلیم/فون‌میزس یا معیارِ کامپوزیت) که فقط مرزِ اعتبار</w:t>
      </w:r>
      <w:r>
        <w:rPr>
          <w:rtl/>
        </w:rPr>
        <w:t xml:space="preserve"> </w:t>
      </w:r>
      <w:r>
        <w:rPr>
          <w:rtl/>
        </w:rPr>
        <w:t xml:space="preserve">را روی نمودارها علامت بزند — بدون تغییرِ حل‌گر.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چند مطالعه (فشار تا ۱۰۰ مگاپاسکال، کسر وزنیِ ۸٪، جدارهٔ نازک با تنش</w:t>
      </w:r>
      <w:r>
        <w:rPr>
          <w:rtl/>
        </w:rPr>
        <w:t xml:space="preserve"> </w:t>
      </w:r>
      <w:r>
        <w:rPr>
          <w:rtl/>
        </w:rPr>
        <w:t xml:space="preserve">محیطیِ ۴٫۰۱۷ و جابجاییِ ۲۶٫۶) تنش‌ها/جابجایی‌هایی می‌دهند که احتمالاً از حدِ</w:t>
      </w:r>
      <w:r>
        <w:rPr>
          <w:rtl/>
        </w:rPr>
        <w:t xml:space="preserve"> </w:t>
      </w:r>
      <w:r>
        <w:rPr>
          <w:rtl/>
        </w:rPr>
        <w:t xml:space="preserve">خطیِ ماده فراترند؛ بی‌آنکه مرزِ اعتبار مشخص شود، خواننده نمی‌داند کجای منحنی</w:t>
      </w:r>
      <w:r>
        <w:rPr>
          <w:rtl/>
        </w:rPr>
        <w:t xml:space="preserve"> </w:t>
      </w:r>
      <w:r>
        <w:rPr>
          <w:rtl/>
        </w:rPr>
        <w:t xml:space="preserve">فیزیکی است و کجا فقط برون‌یابیِ ریاضیِ مدلِ خطی.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 (صرفاً پساپردازش و یک خطِ آستانه روی نمودارها).</w:t>
      </w:r>
    </w:p>
    <w:bookmarkEnd w:id="10"/>
    <w:bookmarkStart w:id="11" w:name="X3f63d757bf11fa3e80396adcf17cb5c74352085"/>
    <w:p>
      <w:pPr>
        <w:pStyle w:val="Heading3"/>
        <w:bidi/>
      </w:pPr>
      <w:r>
        <w:rPr>
          <w:rtl/>
        </w:rPr>
        <w:t xml:space="preserve">۱-۳ [اولویت: متوسط] جمع‌کردنِ گرافن به مادهٔ همسانگرد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در بخش ۳ کد، هالپین–تسای دو مدولِ E_L و E_T می‌سازد اما بی‌درنگ آن‌ها</w:t>
      </w:r>
      <w:r>
        <w:rPr>
          <w:rtl/>
        </w:rPr>
        <w:t xml:space="preserve"> </w:t>
      </w:r>
      <w:r>
        <w:rPr>
          <w:rtl/>
        </w:rPr>
        <w:t xml:space="preserve">را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Es = 3/8*EL + 5/8*ET</w:t>
      </w:r>
      <w:r>
        <w:rPr>
          <w:rtl/>
        </w:rPr>
        <w:t xml:space="preserve"> </w:t>
      </w:r>
      <w:r>
        <w:rPr>
          <w:rtl/>
        </w:rPr>
        <w:t xml:space="preserve">به یک مدولِ</w:t>
      </w:r>
      <w:r>
        <w:rPr>
          <w:rtl/>
        </w:rPr>
        <w:t xml:space="preserve"> </w:t>
      </w:r>
      <w:r>
        <w:rPr>
          <w:b/>
          <w:bCs/>
          <w:rtl/>
        </w:rPr>
        <w:t xml:space="preserve">همسانگردِ</w:t>
      </w:r>
      <w:r>
        <w:rPr>
          <w:rtl/>
        </w:rPr>
        <w:t xml:space="preserve"> </w:t>
      </w:r>
      <w:r>
        <w:rPr>
          <w:rtl/>
        </w:rPr>
        <w:t xml:space="preserve">مؤثر میانگین می‌گیرد و</w:t>
      </w:r>
      <w:r>
        <w:rPr>
          <w:rtl/>
        </w:rPr>
        <w:t xml:space="preserve"> </w:t>
      </w:r>
      <w:r>
        <w:rPr>
          <w:rtl/>
        </w:rPr>
        <w:t xml:space="preserve">همهٔ ماتریسِ کشسان (C11…C55) همسانگرد ساخته می‌شود. پیشنهاد: افزودنِ گزینهٔ</w:t>
      </w:r>
      <w:r>
        <w:rPr>
          <w:rtl/>
        </w:rPr>
        <w:t xml:space="preserve"> </w:t>
      </w:r>
      <w:r>
        <w:rPr>
          <w:rtl/>
        </w:rPr>
        <w:t xml:space="preserve">ماتریسِ کشسانِ</w:t>
      </w:r>
      <w:r>
        <w:rPr>
          <w:rtl/>
        </w:rPr>
        <w:t xml:space="preserve"> </w:t>
      </w:r>
      <w:r>
        <w:rPr>
          <w:b/>
          <w:bCs/>
          <w:rtl/>
        </w:rPr>
        <w:t xml:space="preserve">متعامدگرد/عرضاً‌همسانگرد</w:t>
      </w:r>
      <w:r>
        <w:rPr>
          <w:rtl/>
        </w:rPr>
        <w:t xml:space="preserve"> </w:t>
      </w:r>
      <w:r>
        <w:rPr>
          <w:rtl/>
        </w:rPr>
        <w:t xml:space="preserve">برای لایهٔ کامپوزیتی.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یک ورقهٔ نانوکامپوزیتِ گرافنی ذاتاً عرضاً‌همسانگرد است؛ میانگینِ ۳/۸–۵/۸</w:t>
      </w:r>
      <w:r>
        <w:rPr>
          <w:rtl/>
        </w:rPr>
        <w:t xml:space="preserve"> </w:t>
      </w:r>
      <w:r>
        <w:rPr>
          <w:rtl/>
        </w:rPr>
        <w:t xml:space="preserve">یک ساده‌سازیِ رایج اما محدودکننده است و می‌تواند تنشِ محوری (σ_zz) و پاسخِ</w:t>
      </w:r>
      <w:r>
        <w:rPr>
          <w:rtl/>
        </w:rPr>
        <w:t xml:space="preserve"> </w:t>
      </w:r>
      <w:r>
        <w:rPr>
          <w:rtl/>
        </w:rPr>
        <w:t xml:space="preserve">تکیه‌گاهی (بخش ۴-۱۰) را جابه‌جا کند.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متوسط (نیازمندِ بازنویسیِ سطرهای C_ij به‌صورتِ متعامدگرد و بازاعتبارسنجی).</w:t>
      </w:r>
    </w:p>
    <w:bookmarkEnd w:id="11"/>
    <w:bookmarkStart w:id="12" w:name="Xeeaf1946261acf51daf86072919187dcb703997"/>
    <w:p>
      <w:pPr>
        <w:pStyle w:val="Heading3"/>
        <w:bidi/>
      </w:pPr>
      <w:r>
        <w:rPr>
          <w:rtl/>
        </w:rPr>
        <w:t xml:space="preserve">۱-۴ [اولویت: متوسط] پیوندِ کاملِ لایه‌ای و نبودِ مقاومتِ حرارتیِ فصل‌مشترک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بندهای (d) و (h) کد پیوستگیِ کاملِ دما، شار، جابجایی و کشش را در</w:t>
      </w:r>
      <w:r>
        <w:rPr>
          <w:rtl/>
        </w:rPr>
        <w:t xml:space="preserve"> </w:t>
      </w:r>
      <w:r>
        <w:rPr>
          <w:rtl/>
        </w:rPr>
        <w:t xml:space="preserve">فصل‌مشترک‌ها تحمیل می‌کنند (پیوندِ ایده‌آل). پیشنهاد: گزینهٔ یک مقاومتِ حرارتیِ</w:t>
      </w:r>
      <w:r>
        <w:rPr>
          <w:rtl/>
        </w:rPr>
        <w:t xml:space="preserve"> </w:t>
      </w:r>
      <w:r>
        <w:rPr>
          <w:rtl/>
        </w:rPr>
        <w:t xml:space="preserve">تماسیِ فصل‌مشترک (پرشِ دما متناسب با شار) به‌عنوان مطالعهٔ حساسیت.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استوانهٔ درجه‌بندی‌شدهٔ واقعی با هفت لایهٔ ساخته‌شده هرگز پیوندِ کاملِ</w:t>
      </w:r>
      <w:r>
        <w:rPr>
          <w:rtl/>
        </w:rPr>
        <w:t xml:space="preserve"> </w:t>
      </w:r>
      <w:r>
        <w:rPr>
          <w:rtl/>
        </w:rPr>
        <w:t xml:space="preserve">حرارتی ندارد؛ چون امضای موجِ صوتِ دوم دقیقاً از بازتاب در فصل‌مشترک‌ها (دندانه‌های</w:t>
      </w:r>
      <w:r>
        <w:rPr>
          <w:rtl/>
        </w:rPr>
        <w:t xml:space="preserve"> </w:t>
      </w:r>
      <w:r>
        <w:rPr>
          <w:rtl/>
        </w:rPr>
        <w:t xml:space="preserve">ξ = k/7 در بخش ۴-۵) پدید می‌آید، یک مقاومتِ فصل‌مشترک می‌تواند این امضا را</w:t>
      </w:r>
      <w:r>
        <w:rPr>
          <w:rtl/>
        </w:rPr>
        <w:t xml:space="preserve"> </w:t>
      </w:r>
      <w:r>
        <w:rPr>
          <w:rtl/>
        </w:rPr>
        <w:t xml:space="preserve">به‌طورِ معناداری تغییر دهد و ارزیابیِ نیرومندیِ نتیجه را ممکن سازد.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متوسط.</w:t>
      </w:r>
    </w:p>
    <w:bookmarkEnd w:id="12"/>
    <w:bookmarkStart w:id="13" w:name="X26ed414c0957bf37998137900fb2a923e2bc2ec"/>
    <w:p>
      <w:pPr>
        <w:pStyle w:val="Heading3"/>
        <w:bidi/>
      </w:pPr>
      <w:r>
        <w:rPr>
          <w:rtl/>
        </w:rPr>
        <w:t xml:space="preserve">۱-۵ [اولویت: کم] فرضِ ثابت‌ماندنِ ضریبِ انبساطِ حرارتی با تخلخل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در بخش پایانیِ مدلِ تخلخل (خطوطِ حولِ ۳۶۴ کد) صریحاً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al_L(e) = als</w:t>
      </w:r>
      <w:r>
        <w:rPr>
          <w:rtl/>
        </w:rPr>
        <w:t xml:space="preserve">؛</w:t>
      </w:r>
      <w:r>
        <w:rPr>
          <w:rtl/>
        </w:rPr>
        <w:t xml:space="preserve"> </w:t>
      </w:r>
      <w:r>
        <w:rPr>
          <w:rtl/>
        </w:rPr>
        <w:t xml:space="preserve">یعنی k و c و ρ با تخلخل مقیاس می‌خورند اما α دست‌نخورده می‌ماند. این یک فرضِ</w:t>
      </w:r>
      <w:r>
        <w:rPr>
          <w:rtl/>
        </w:rPr>
        <w:t xml:space="preserve"> </w:t>
      </w:r>
      <w:r>
        <w:rPr>
          <w:rtl/>
        </w:rPr>
        <w:t xml:space="preserve">مدل‌سازی است که باید در متن دست‌کم ذکر و توجیه شود.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شفافیتِ فرض‌ها؛ خواننده باید بداند چرا α از تخلخل مصون مانده در حالی که</w:t>
      </w:r>
      <w:r>
        <w:rPr>
          <w:rtl/>
        </w:rPr>
        <w:t xml:space="preserve"> </w:t>
      </w:r>
      <w:r>
        <w:rPr>
          <w:rtl/>
        </w:rPr>
        <w:t xml:space="preserve">سایر خواص نه.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 (یک جملهٔ توضیحی در فصل ۳/۴).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e8605ce7ee5250aa8426856457a7c632ca1c9a6"/>
    <w:p>
      <w:pPr>
        <w:pStyle w:val="Heading2"/>
        <w:bidi/>
      </w:pPr>
      <w:r>
        <w:rPr>
          <w:rtl/>
        </w:rPr>
        <w:t xml:space="preserve">۲. طرحِ عددی (DQM / نیومارک، شبکه، گامِ زمانی، پایداری)</w:t>
      </w:r>
    </w:p>
    <w:bookmarkStart w:id="15" w:name="X2d23185bb3c16480da514c7e8f0a71c0caf78dc"/>
    <w:p>
      <w:pPr>
        <w:pStyle w:val="Heading3"/>
        <w:bidi/>
      </w:pPr>
      <w:r>
        <w:rPr>
          <w:rtl/>
        </w:rPr>
        <w:t xml:space="preserve">۲-۱ [اولویت: بالا] نوسان‌های گیبس فقط «اعلام» شده‌اند، نه «اثباتِ عددی‌بودن»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بخش ۴-۱ و پیوست الف نوسان‌های پشتِ پیشانیِ تیز را به «اثرِ گیبسِ</w:t>
      </w:r>
      <w:r>
        <w:rPr>
          <w:rtl/>
        </w:rPr>
        <w:t xml:space="preserve"> </w:t>
      </w:r>
      <w:r>
        <w:rPr>
          <w:rtl/>
        </w:rPr>
        <w:t xml:space="preserve">گسسته‌سازیِ طیفی» نسبت می‌دهند و عمداً فیلتر نمی‌کنند. پیشنهاد: افزودنِ یک</w:t>
      </w:r>
      <w:r>
        <w:rPr>
          <w:rtl/>
        </w:rPr>
        <w:t xml:space="preserve"> </w:t>
      </w:r>
      <w:r>
        <w:rPr>
          <w:rtl/>
        </w:rPr>
        <w:t xml:space="preserve">آزمونِ حساسیتِ کوچک که همان حالت را با HHT-α (میرایی الگوریتمیِ کنترل‌شده) یا با</w:t>
      </w:r>
      <w:r>
        <w:rPr>
          <w:rtl/>
        </w:rPr>
        <w:t xml:space="preserve"> </w:t>
      </w:r>
      <w:r>
        <w:rPr>
          <w:rtl/>
        </w:rPr>
        <w:t xml:space="preserve">ریزکردنِ N_r کنار نتیجهٔ β=¼ رسم کند تا</w:t>
      </w:r>
      <w:r>
        <w:rPr>
          <w:rtl/>
        </w:rPr>
        <w:t xml:space="preserve"> </w:t>
      </w:r>
      <w:r>
        <w:rPr>
          <w:b/>
          <w:bCs/>
          <w:rtl/>
        </w:rPr>
        <w:t xml:space="preserve">کمّی</w:t>
      </w:r>
      <w:r>
        <w:rPr>
          <w:rtl/>
        </w:rPr>
        <w:t xml:space="preserve"> </w:t>
      </w:r>
      <w:r>
        <w:rPr>
          <w:rtl/>
        </w:rPr>
        <w:t xml:space="preserve">نشان دهد نوسان با ریزترشدنِ مش</w:t>
      </w:r>
      <w:r>
        <w:rPr>
          <w:rtl/>
        </w:rPr>
        <w:t xml:space="preserve"> </w:t>
      </w:r>
      <w:r>
        <w:rPr>
          <w:rtl/>
        </w:rPr>
        <w:t xml:space="preserve">کوچک می‌شود و با میرایی محو می‌شود — یعنی عددی است نه فیزیکی.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ادعای «گیبس، نه ناپایداری» در حال حاضر استدلالی است نه نشان‌داده‌شده؛</w:t>
      </w:r>
      <w:r>
        <w:rPr>
          <w:rtl/>
        </w:rPr>
        <w:t xml:space="preserve"> </w:t>
      </w:r>
      <w:r>
        <w:rPr>
          <w:rtl/>
        </w:rPr>
        <w:t xml:space="preserve">چون ابزارهای لازم (HHT-α در بخش ۴-۱۸؛ همگراییِ N_r در بخش ۴-۳) همین حالا در</w:t>
      </w:r>
      <w:r>
        <w:rPr>
          <w:rtl/>
        </w:rPr>
        <w:t xml:space="preserve"> </w:t>
      </w:r>
      <w:r>
        <w:rPr>
          <w:rtl/>
        </w:rPr>
        <w:t xml:space="preserve">پروژه موجودند، بستنِ این حلقه کم‌هزینه و از نظرِ داوری بسیار ارزشمند است.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 (استفادهٔ مجدد از اسکریپت‌های موجود؛ یک شکلِ مقایسه‌ای).</w:t>
      </w:r>
    </w:p>
    <w:bookmarkEnd w:id="15"/>
    <w:bookmarkStart w:id="16" w:name="Xd712ddee29f19f53575759edf7296e65aae4edd"/>
    <w:p>
      <w:pPr>
        <w:pStyle w:val="Heading3"/>
        <w:bidi/>
      </w:pPr>
      <w:r>
        <w:rPr>
          <w:rtl/>
        </w:rPr>
        <w:t xml:space="preserve">۲-۲ [اولویت: متوسط] راستای محوری راستای مقیدکننده است اما فقط تا N_z=۱۵ آزموده شده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جدول ۴-۳ نشان می‌دهد N_z راستای تعیین‌کننده است (N_z=۵ خطای ۹٫۴٪) و</w:t>
      </w:r>
      <w:r>
        <w:rPr>
          <w:rtl/>
        </w:rPr>
        <w:t xml:space="preserve"> </w:t>
      </w:r>
      <w:r>
        <w:rPr>
          <w:rtl/>
        </w:rPr>
        <w:t xml:space="preserve">هزینه با N_z^2.6 رشد می‌کند، اما مرجعِ همگرایی خودِ N_z=۱۵ است. ستونِ مقدارِ</w:t>
      </w:r>
      <w:r>
        <w:rPr>
          <w:rtl/>
        </w:rPr>
        <w:t xml:space="preserve"> </w:t>
      </w:r>
      <w:r>
        <w:rPr>
          <w:rtl/>
        </w:rPr>
        <w:t xml:space="preserve">نقطه‌ای (Σθθ داخلی) نامنوتون است (۱٫۳۸۴۴ → ۱٫۵۴۳۴ → ۱٫۵۲۶۴) و N_z=۹ با مقدارِ</w:t>
      </w:r>
      <w:r>
        <w:rPr>
          <w:rtl/>
        </w:rPr>
        <w:t xml:space="preserve"> </w:t>
      </w:r>
      <w:r>
        <w:rPr>
          <w:rtl/>
        </w:rPr>
        <w:t xml:space="preserve">۱٫۵۴۳۴ حدود ۱٪ از مرجع فاصله دارد، حال آنکه ستونِ خطای L₂ برای همان سطر ۰٫۲۳٪</w:t>
      </w:r>
      <w:r>
        <w:rPr>
          <w:rtl/>
        </w:rPr>
        <w:t xml:space="preserve"> </w:t>
      </w:r>
      <w:r>
        <w:rPr>
          <w:rtl/>
        </w:rPr>
        <w:t xml:space="preserve">می‌دهد. پیشنهاد: یا افزودنِ یک نقطهٔ N_z بالاتر (۱۷ یا ۱۹) برای نشان‌دادنِ</w:t>
      </w:r>
      <w:r>
        <w:rPr>
          <w:rtl/>
        </w:rPr>
        <w:t xml:space="preserve"> </w:t>
      </w:r>
      <w:r>
        <w:rPr>
          <w:rtl/>
        </w:rPr>
        <w:t xml:space="preserve">تخت‌شدنِ واقعی، یا افزودنِ یک جملهٔ آشتی‌دهنده که چرا معیارِ نقطه‌ای و L₂ دو</w:t>
      </w:r>
      <w:r>
        <w:rPr>
          <w:rtl/>
        </w:rPr>
        <w:t xml:space="preserve"> </w:t>
      </w:r>
      <w:r>
        <w:rPr>
          <w:rtl/>
        </w:rPr>
        <w:t xml:space="preserve">داستانِ متفاوت می‌گویند.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چون N_z راستای بحرانی است، گرفتنِ مرجع روی خودِ آخرین نقطه، حاشیهٔ</w:t>
      </w:r>
      <w:r>
        <w:rPr>
          <w:rtl/>
        </w:rPr>
        <w:t xml:space="preserve"> </w:t>
      </w:r>
      <w:r>
        <w:rPr>
          <w:rtl/>
        </w:rPr>
        <w:t xml:space="preserve">اطمینانِ همگرایی را نامعلوم می‌گذارد؛ ناسازگاریِ ظاهریِ دو ستون برای داور</w:t>
      </w:r>
      <w:r>
        <w:rPr>
          <w:rtl/>
        </w:rPr>
        <w:t xml:space="preserve"> </w:t>
      </w:r>
      <w:r>
        <w:rPr>
          <w:rtl/>
        </w:rPr>
        <w:t xml:space="preserve">سؤال‌برانگیز است.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 تا متوسط (یک اجرای اضافه + بازنگریِ جدول).</w:t>
      </w:r>
    </w:p>
    <w:bookmarkEnd w:id="16"/>
    <w:bookmarkStart w:id="17" w:name="Xcc93bbe579e2e7132310aa1bfe8c4b7b27228bf"/>
    <w:p>
      <w:pPr>
        <w:pStyle w:val="Heading3"/>
        <w:bidi/>
      </w:pPr>
      <w:r>
        <w:rPr>
          <w:rtl/>
        </w:rPr>
        <w:t xml:space="preserve">۲-۳ [اولویت: متوسط] گامِ زمانی فقط تا Δt=۵ ثانیه (بالادست) آزموده شده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جدول ۴-۵ گامِ زمانی را در Δt = ۰٫۵ تا ۵ ثانیه می‌آزماید. چون طرح</w:t>
      </w:r>
      <w:r>
        <w:rPr>
          <w:rtl/>
        </w:rPr>
        <w:t xml:space="preserve"> </w:t>
      </w:r>
      <w:r>
        <w:rPr>
          <w:rtl/>
        </w:rPr>
        <w:t xml:space="preserve">بی‌قید‌و‌شرط پایدار است، محدودیت فقط دقتی است؛ اما هیچ نقطهٔ Δt کوچک‌ترِ رسمی‌ای</w:t>
      </w:r>
      <w:r>
        <w:rPr>
          <w:rtl/>
        </w:rPr>
        <w:t xml:space="preserve"> </w:t>
      </w:r>
      <w:r>
        <w:rPr>
          <w:rtl/>
        </w:rPr>
        <w:t xml:space="preserve">زیرِ ۰٫۵ ثانیه گزارش نشده تا نشان دهد کفِ خطای مکانی واقعاً لمس شده است. [گمانه‌ای]</w:t>
      </w:r>
      <w:r>
        <w:rPr>
          <w:rtl/>
        </w:rPr>
        <w:t xml:space="preserve"> </w:t>
      </w:r>
      <w:r>
        <w:rPr>
          <w:rtl/>
        </w:rPr>
        <w:t xml:space="preserve">پیشنهاد: افزودنِ یک نقطهٔ Δt=۰٫۲۵ برای تثبیتِ اینکه ۰٫۵ ثانیه به‌عنوان مرجع خودش</w:t>
      </w:r>
      <w:r>
        <w:rPr>
          <w:rtl/>
        </w:rPr>
        <w:t xml:space="preserve"> </w:t>
      </w:r>
      <w:r>
        <w:rPr>
          <w:rtl/>
        </w:rPr>
        <w:t xml:space="preserve">همگراست.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پیوست الف می‌گوید «Δt به‌قدر کافی کوچک تا خطای زمانی زیر کف مکانی رود»؛</w:t>
      </w:r>
      <w:r>
        <w:rPr>
          <w:rtl/>
        </w:rPr>
        <w:t xml:space="preserve"> </w:t>
      </w:r>
      <w:r>
        <w:rPr>
          <w:rtl/>
        </w:rPr>
        <w:t xml:space="preserve">یک نقطهٔ زیرِ مرجع این ادعا را کامل می‌کند.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کم.</w:t>
      </w:r>
    </w:p>
    <w:bookmarkEnd w:id="17"/>
    <w:bookmarkStart w:id="18" w:name="اولویت-کم-تقریب-شرط-مرزی-گریننگدی-gn3"/>
    <w:p>
      <w:pPr>
        <w:pStyle w:val="Heading3"/>
        <w:bidi/>
      </w:pPr>
      <w:r>
        <w:rPr>
          <w:rtl/>
        </w:rPr>
        <w:t xml:space="preserve">۲-۴ [اولویت: کم] تقریبِ شرطِ مرزیِ گرین–نگدی (GN3)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خطِ ۲۳۳–۲۳۴ کد صریحاً می‌گوید سطرهای مرزیِ حرارتی برای GN3 «شکلِ</w:t>
      </w:r>
      <w:r>
        <w:rPr>
          <w:rtl/>
        </w:rPr>
        <w:t xml:space="preserve"> </w:t>
      </w:r>
      <w:r>
        <w:rPr>
          <w:rtl/>
        </w:rPr>
        <w:t xml:space="preserve">استانداردِ شار k·dθ/dr را نگه می‌دارند که تقریبی از شارِ نرخی‌ِ GN3 است</w:t>
      </w:r>
      <w:r>
        <w:rPr>
          <w:rtl/>
        </w:rPr>
        <w:t xml:space="preserve"> </w:t>
      </w:r>
      <w:r>
        <w:rPr>
          <w:rtl/>
        </w:rPr>
        <w:t xml:space="preserve">(انتخابِ مستند)». اما در بخش ۴-۲۰ همین GN3 با بیشینهٔ ۱٫۵۸۱ به‌شدت از سه نظریهٔ</w:t>
      </w:r>
      <w:r>
        <w:rPr>
          <w:rtl/>
        </w:rPr>
        <w:t xml:space="preserve"> </w:t>
      </w:r>
      <w:r>
        <w:rPr>
          <w:rtl/>
        </w:rPr>
        <w:t xml:space="preserve">دیگر جدا می‌ایستد.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چون نتیجهٔ چشمگیرِ GN3 روی یک شرطِ مرزیِ اذعان‌شده‌تقریبی سوار است، یا</w:t>
      </w:r>
      <w:r>
        <w:rPr>
          <w:rtl/>
        </w:rPr>
        <w:t xml:space="preserve"> </w:t>
      </w:r>
      <w:r>
        <w:rPr>
          <w:rtl/>
        </w:rPr>
        <w:t xml:space="preserve">باید شرطِ مرزیِ نرخیِ درست پیاده شود، یا در متنِ ۴-۲۰ صراحتاً قید شود که تراز</w:t>
      </w:r>
      <w:r>
        <w:rPr>
          <w:rtl/>
        </w:rPr>
        <w:t xml:space="preserve"> </w:t>
      </w:r>
      <w:r>
        <w:rPr>
          <w:rtl/>
        </w:rPr>
        <w:t xml:space="preserve">مطلقِ قلهٔ GN3 ممکن است به این تقریب حساس باشد (روند کیفی‌اش نه).</w:t>
      </w:r>
    </w:p>
    <w:p>
      <w:pPr>
        <w:pStyle w:val="Compact"/>
        <w:numPr>
          <w:ilvl w:val="0"/>
          <w:numId w:val="1009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 (قید در متن) یا متوسط (پیاده‌سازیِ شرطِ مرزیِ نرخی).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پوشش-صحتسنجی-و-راستیآزمایی"/>
    <w:p>
      <w:pPr>
        <w:pStyle w:val="Heading2"/>
        <w:bidi/>
      </w:pPr>
      <w:r>
        <w:rPr>
          <w:rtl/>
        </w:rPr>
        <w:t xml:space="preserve">۳. پوششِ صحت‌سنجی و راستی‌آزمایی</w:t>
      </w:r>
    </w:p>
    <w:bookmarkStart w:id="20" w:name="Xd8588a1f07acdbfeb27c1705726f5c509a19f57"/>
    <w:p>
      <w:pPr>
        <w:pStyle w:val="Heading3"/>
        <w:bidi/>
      </w:pPr>
      <w:r>
        <w:rPr>
          <w:rtl/>
        </w:rPr>
        <w:t xml:space="preserve">۳-۱ [اولویت: بالا] موجِ صوتِ دوم (نوآوریِ مرکزیِ پایان‌نامه) فقط کیفی صحت‌سنجی شده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بخش ۴-۴ آزمونِ پنجم (باقری و اسلامی ۲۰۰۷) را صریحاً «به طور کیفی» توصیف</w:t>
      </w:r>
      <w:r>
        <w:rPr>
          <w:rtl/>
        </w:rPr>
        <w:t xml:space="preserve"> </w:t>
      </w:r>
      <w:r>
        <w:rPr>
          <w:rtl/>
        </w:rPr>
        <w:t xml:space="preserve">می‌کند و جدولِ ۴-۶ نتیجه را «تطابقِ سرعت‌ها و بازتاب‌ها» می‌آورد — نه یک خطای</w:t>
      </w:r>
      <w:r>
        <w:rPr>
          <w:rtl/>
        </w:rPr>
        <w:t xml:space="preserve"> </w:t>
      </w:r>
      <w:r>
        <w:rPr>
          <w:rtl/>
        </w:rPr>
        <w:t xml:space="preserve">کمّی. افزون بر این، REVISIONS.md (R4.1) می‌گوید شکلِ سابقِ این محک (bench3) حذف</w:t>
      </w:r>
      <w:r>
        <w:rPr>
          <w:rtl/>
        </w:rPr>
        <w:t xml:space="preserve"> </w:t>
      </w:r>
      <w:r>
        <w:rPr>
          <w:rtl/>
        </w:rPr>
        <w:t xml:space="preserve">شد چون «فقط حلِ حاضر رسم شده بود، بی هیچ داده‌ای از باقری و اسلامی روی آن — پس</w:t>
      </w:r>
      <w:r>
        <w:rPr>
          <w:rtl/>
        </w:rPr>
        <w:t xml:space="preserve"> </w:t>
      </w:r>
      <w:r>
        <w:rPr>
          <w:rtl/>
        </w:rPr>
        <w:t xml:space="preserve">مقایسهٔ واقعی نبود». یعنی هستهٔ هذلولویِ کار — سرعتِ محدودِ موج و فراجهش — تنها</w:t>
      </w:r>
      <w:r>
        <w:rPr>
          <w:rtl/>
        </w:rPr>
        <w:t xml:space="preserve"> </w:t>
      </w:r>
      <w:r>
        <w:rPr>
          <w:rtl/>
        </w:rPr>
        <w:t xml:space="preserve">محکی است که همپوشانیِ کمّیِ عددی با مرجع ندارد. پیشنهاد: بازتولیدِ یک حالتِ</w:t>
      </w:r>
      <w:r>
        <w:rPr>
          <w:rtl/>
        </w:rPr>
        <w:t xml:space="preserve"> </w:t>
      </w:r>
      <w:r>
        <w:rPr>
          <w:rtl/>
        </w:rPr>
        <w:t xml:space="preserve">عددیِ باقری و اسلامی (یا هر حلِ لرد–شولمنِ منتشرشده) و رسمِ همپوشانِ کمّی با</w:t>
      </w:r>
      <w:r>
        <w:rPr>
          <w:rtl/>
        </w:rPr>
        <w:t xml:space="preserve"> </w:t>
      </w:r>
      <w:r>
        <w:rPr>
          <w:rtl/>
        </w:rPr>
        <w:t xml:space="preserve">گزارشِ درصد خطا.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چهار محکِ دیگر (مونتاژِ استاتیکی، پاسخِ مکانیکی، هدایتِ گذرا، انتگرال‌گیرِ</w:t>
      </w:r>
      <w:r>
        <w:rPr>
          <w:rtl/>
        </w:rPr>
        <w:t xml:space="preserve"> </w:t>
      </w:r>
      <w:r>
        <w:rPr>
          <w:rtl/>
        </w:rPr>
        <w:t xml:space="preserve">زمانی) عمدتاً بخش‌های</w:t>
      </w:r>
      <w:r>
        <w:rPr>
          <w:rtl/>
        </w:rPr>
        <w:t xml:space="preserve"> </w:t>
      </w:r>
      <w:r>
        <w:rPr>
          <w:b/>
          <w:bCs/>
          <w:rtl/>
        </w:rPr>
        <w:t xml:space="preserve">کلاسیک/مکانیکیِ</w:t>
      </w:r>
      <w:r>
        <w:rPr>
          <w:rtl/>
        </w:rPr>
        <w:t xml:space="preserve"> </w:t>
      </w:r>
      <w:r>
        <w:rPr>
          <w:rtl/>
        </w:rPr>
        <w:t xml:space="preserve">حل را می‌آزمایند؛ هیچ‌کدام به‌طور کمّی</w:t>
      </w:r>
      <w:r>
        <w:rPr>
          <w:rtl/>
        </w:rPr>
        <w:t xml:space="preserve"> </w:t>
      </w:r>
      <w:r>
        <w:rPr>
          <w:rtl/>
        </w:rPr>
        <w:t xml:space="preserve">سرعتِ موجِ حرارتی و فراجهشِ هذلولوی را تأیید نمی‌کنند — دقیقاً همان چیزی که کلِ</w:t>
      </w:r>
      <w:r>
        <w:rPr>
          <w:rtl/>
        </w:rPr>
        <w:t xml:space="preserve"> </w:t>
      </w:r>
      <w:r>
        <w:rPr>
          <w:rtl/>
        </w:rPr>
        <w:t xml:space="preserve">استدلالِ به‌کارگیریِ لرد–شولمن بر آن استوار است. این مهم‌ترین شکافِ صحت‌سنجیِ</w:t>
      </w:r>
      <w:r>
        <w:rPr>
          <w:rtl/>
        </w:rPr>
        <w:t xml:space="preserve"> </w:t>
      </w:r>
      <w:r>
        <w:rPr>
          <w:rtl/>
        </w:rPr>
        <w:t xml:space="preserve">پروژه است.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زیاد (نیازمندِ بازتولیدِ دقیقِ هندسه/خواص/بارگذاریِ یک مرجع و استخراجِ</w:t>
      </w:r>
      <w:r>
        <w:rPr>
          <w:rtl/>
        </w:rPr>
        <w:t xml:space="preserve"> </w:t>
      </w:r>
      <w:r>
        <w:rPr>
          <w:rtl/>
        </w:rPr>
        <w:t xml:space="preserve">داده از آن).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</w:rPr>
        <w:t xml:space="preserve">✅ انجام شد (۱۳ شهریور ۱۴۰۵ / 2026-09-09).</w:t>
      </w:r>
      <w:r>
        <w:rPr>
          <w:rtl/>
        </w:rPr>
        <w:t xml:space="preserve"> </w:t>
      </w:r>
      <w:r>
        <w:rPr>
          <w:rtl/>
        </w:rPr>
        <w:t xml:space="preserve">به‌جای رقمی‌کردنِ شکلِ یک مقالهٔ</w:t>
      </w:r>
      <w:r>
        <w:rPr>
          <w:rtl/>
        </w:rPr>
        <w:t xml:space="preserve"> </w:t>
      </w:r>
      <w:r>
        <w:rPr>
          <w:rtl/>
        </w:rPr>
        <w:t xml:space="preserve">پشتِ حصارِ اشتراک، یک</w:t>
      </w:r>
      <w:r>
        <w:rPr>
          <w:rtl/>
        </w:rPr>
        <w:t xml:space="preserve"> </w:t>
      </w:r>
      <w:r>
        <w:rPr>
          <w:b/>
          <w:bCs/>
          <w:rtl/>
        </w:rPr>
        <w:t xml:space="preserve">حلِ دقیقِ تحلیلی برای همان هندسهٔ خودِ حل‌گر</w:t>
      </w:r>
      <w:r>
        <w:rPr>
          <w:rtl/>
        </w:rPr>
        <w:t xml:space="preserve"> </w:t>
      </w:r>
      <w:r>
        <w:rPr>
          <w:rtl/>
        </w:rPr>
        <w:t xml:space="preserve">استخراج شد.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coupling_on=false</w:t>
      </w:r>
      <w:r>
        <w:rPr>
          <w:rtl/>
        </w:rPr>
        <w:t xml:space="preserve"> </w:t>
      </w:r>
      <w:r>
        <w:rPr>
          <w:rtl/>
        </w:rPr>
        <w:t xml:space="preserve">تنها جمله‌ای که دما را به (u,w) پیوند می‌دهد حذف می‌شود، پس</w:t>
      </w:r>
      <w:r>
        <w:rPr>
          <w:rtl/>
        </w:rPr>
        <w:t xml:space="preserve"> </w:t>
      </w:r>
      <w:r>
        <w:rPr>
          <w:rtl/>
        </w:rPr>
        <w:t xml:space="preserve">سطرِ انرژیِ حل‌گر دقیقاً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rho*c*(th' + tau0*th'') = k*(th_rr + th_r/r)</w:t>
      </w:r>
      <w:r>
        <w:rPr>
          <w:rtl/>
        </w:rPr>
        <w:t xml:space="preserve"> </w:t>
      </w:r>
      <w:r>
        <w:rPr>
          <w:rtl/>
        </w:rPr>
        <w:t xml:space="preserve">بدل</w:t>
      </w:r>
      <w:r>
        <w:rPr>
          <w:rtl/>
        </w:rPr>
        <w:t xml:space="preserve"> </w:t>
      </w:r>
      <w:r>
        <w:rPr>
          <w:rtl/>
        </w:rPr>
        <w:t xml:space="preserve">می‌گردد؛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material_mode='FG_powerlaw'</w:t>
      </w:r>
      <w:r>
        <w:rPr>
          <w:rtl/>
        </w:rPr>
        <w:t xml:space="preserve"> </w:t>
      </w:r>
      <w:r>
        <w:rPr>
          <w:rtl/>
        </w:rPr>
        <w:t xml:space="preserve">و توان‌های صفر خواصِ لایه‌ها دقیقاً ثابت</w:t>
      </w:r>
      <w:r>
        <w:rPr>
          <w:rtl/>
        </w:rPr>
        <w:t xml:space="preserve"> </w:t>
      </w:r>
      <w:r>
        <w:rPr>
          <w:rtl/>
        </w:rPr>
        <w:t xml:space="preserve">می‌شوند؛ و با انتهاهای عایق و شرطِ مرزیِ یکنواخت در z میدانِ دوبعدی به مسئلهٔ</w:t>
      </w:r>
      <w:r>
        <w:rPr>
          <w:rtl/>
        </w:rPr>
        <w:t xml:space="preserve"> </w:t>
      </w:r>
      <w:r>
        <w:rPr>
          <w:rtl/>
        </w:rPr>
        <w:t xml:space="preserve">یک‌بعدیِ شعاعی فرو می‌کاهد (این فروکاست در حین اجرا سنجیده شد: ناوابستگی به z تا</w:t>
      </w:r>
      <w:r>
        <w:rPr>
          <w:rtl/>
        </w:rPr>
        <w:t xml:space="preserve"> </w:t>
      </w:r>
      <w:r>
        <w:rPr>
          <w:b/>
          <w:bCs/>
          <w:rtl/>
        </w:rPr>
        <w:t xml:space="preserve">۳٫۹e-11</w:t>
      </w:r>
      <w:r>
        <w:rPr>
          <w:rtl/>
        </w:rPr>
        <w:t xml:space="preserve"> </w:t>
      </w:r>
      <w:r>
        <w:rPr>
          <w:rtl/>
        </w:rPr>
        <w:t xml:space="preserve">برابرِ ΔT). آن مسئلهٔ یک‌بعدی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ls_wave_exact_R2.m</w:t>
      </w:r>
      <w:r>
        <w:rPr>
          <w:rtl/>
        </w:rPr>
        <w:t xml:space="preserve"> </w:t>
      </w:r>
      <w:r>
        <w:rPr>
          <w:rtl/>
        </w:rPr>
        <w:t xml:space="preserve">به‌صورت بسته با</w:t>
      </w:r>
      <w:r>
        <w:rPr>
          <w:rtl/>
        </w:rPr>
        <w:t xml:space="preserve"> </w:t>
      </w:r>
      <w:r>
        <w:rPr>
          <w:rtl/>
        </w:rPr>
        <w:t xml:space="preserve">بسطِ ویژه‌تابعِ فوریه–بسل حل می‌شود؛ چون هر دامنهٔ مُد یک معادلهٔ نوسانگرِ میرا با</w:t>
      </w:r>
      <w:r>
        <w:rPr>
          <w:rtl/>
        </w:rPr>
        <w:t xml:space="preserve"> </w:t>
      </w:r>
      <w:r>
        <w:rPr>
          <w:rtl/>
        </w:rPr>
        <w:t xml:space="preserve">نیروی نمایی است که</w:t>
      </w:r>
      <w:r>
        <w:rPr>
          <w:rtl/>
        </w:rPr>
        <w:t xml:space="preserve"> </w:t>
      </w:r>
      <w:r>
        <w:rPr>
          <w:b/>
          <w:bCs/>
          <w:rtl/>
        </w:rPr>
        <w:t xml:space="preserve">تحلیلی</w:t>
      </w:r>
      <w:r>
        <w:rPr>
          <w:rtl/>
        </w:rPr>
        <w:t xml:space="preserve"> </w:t>
      </w:r>
      <w:r>
        <w:rPr>
          <w:rtl/>
        </w:rPr>
        <w:t xml:space="preserve">حل می‌شود، هیچ گسسته‌سازیِ زمانی و هیچ وارونگیِ عددیِ</w:t>
      </w:r>
      <w:r>
        <w:rPr>
          <w:rtl/>
        </w:rPr>
        <w:t xml:space="preserve"> </w:t>
      </w:r>
      <w:r>
        <w:rPr>
          <w:rtl/>
        </w:rPr>
        <w:t xml:space="preserve">لاپلاس در مرجع وجود ندارد.</w:t>
      </w:r>
      <w:r>
        <w:rPr>
          <w:rtl/>
        </w:rPr>
        <w:t xml:space="preserve"> </w:t>
      </w:r>
      <w:r>
        <w:rPr>
          <w:b/>
          <w:bCs/>
          <w:rtl/>
        </w:rPr>
        <w:t xml:space="preserve">خودِ مرجع پیش از استفاده مستقلاً صحت‌سنجی شد:</w:t>
      </w:r>
      <w:r>
        <w:rPr>
          <w:rtl/>
        </w:rPr>
        <w:t xml:space="preserve"> </w:t>
      </w:r>
      <w:r>
        <w:rPr>
          <w:rtl/>
        </w:rPr>
        <w:t xml:space="preserve">حدِ</w:t>
      </w:r>
      <w:r>
        <w:rPr>
          <w:rtl/>
        </w:rPr>
        <w:t xml:space="preserve"> </w:t>
      </w:r>
      <w:r>
        <w:rPr>
          <w:rtl/>
        </w:rPr>
        <w:t xml:space="preserve">حالتِ پایا تا</w:t>
      </w:r>
      <w:r>
        <w:rPr>
          <w:rtl/>
        </w:rPr>
        <w:t xml:space="preserve"> </w:t>
      </w:r>
      <w:r>
        <w:rPr>
          <w:b/>
          <w:bCs/>
          <w:rtl/>
        </w:rPr>
        <w:t xml:space="preserve">۱٫۹e-16</w:t>
      </w:r>
      <w:r>
        <w:rPr>
          <w:rtl/>
        </w:rPr>
        <w:t xml:space="preserve">، علیّتِ هذلولوی (میدان جلوترِ پیشانی) تا</w:t>
      </w:r>
      <w:r>
        <w:rPr>
          <w:rtl/>
        </w:rPr>
        <w:t xml:space="preserve"> </w:t>
      </w:r>
      <w:r>
        <w:rPr>
          <w:b/>
          <w:bCs/>
          <w:rtl/>
        </w:rPr>
        <w:t xml:space="preserve">۴e-6</w:t>
      </w:r>
      <w:r>
        <w:rPr>
          <w:rtl/>
        </w:rPr>
        <w:t xml:space="preserve">، نسبتِ</w:t>
      </w:r>
      <w:r>
        <w:rPr>
          <w:rtl/>
        </w:rPr>
        <w:t xml:space="preserve"> </w:t>
      </w:r>
      <w:r>
        <w:rPr>
          <w:rtl/>
        </w:rPr>
        <w:t xml:space="preserve">پرشِ پیشانی میانِ شعاع‌های مختلف منطبق بر قانونِ پرتوِ تحلیلی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Δ·sqrt(Ri/r)·exp(-(r-Ri)/(2Cτ0))</w:t>
      </w:r>
      <w:r>
        <w:rPr>
          <w:rtl/>
        </w:rPr>
        <w:t xml:space="preserve"> </w:t>
      </w:r>
      <w:r>
        <w:rPr>
          <w:rtl/>
        </w:rPr>
        <w:t xml:space="preserve">با خطای</w:t>
      </w:r>
      <w:r>
        <w:rPr>
          <w:rtl/>
        </w:rPr>
        <w:t xml:space="preserve"> </w:t>
      </w:r>
      <w:r>
        <w:rPr>
          <w:b/>
          <w:bCs/>
          <w:rtl/>
        </w:rPr>
        <w:t xml:space="preserve">۰٫۱۶٪</w:t>
      </w:r>
      <w:r>
        <w:rPr>
          <w:rtl/>
        </w:rPr>
        <w:t xml:space="preserve">، و حدِ فوریه (τ0→۰) منطبق بر</w:t>
      </w:r>
      <w:r>
        <w:rPr>
          <w:rtl/>
        </w:rPr>
        <w:t xml:space="preserve"> </w:t>
      </w:r>
      <w:r>
        <w:rPr>
          <w:rtl/>
        </w:rPr>
        <w:t xml:space="preserve">یک حلِ مستقلِ کرانک–نیکلسون.</w:t>
      </w:r>
      <w:r>
        <w:rPr>
          <w:rtl/>
        </w:rPr>
        <w:t xml:space="preserve"> </w:t>
      </w:r>
      <w:r>
        <w:rPr>
          <w:b/>
          <w:bCs/>
          <w:rtl/>
        </w:rPr>
        <w:t xml:space="preserve">نتیجهٔ مقایسه:</w:t>
      </w:r>
      <w:r>
        <w:rPr>
          <w:rtl/>
        </w:rPr>
        <w:t xml:space="preserve"> </w:t>
      </w:r>
      <w:r>
        <w:rPr>
          <w:rtl/>
        </w:rPr>
        <w:t xml:space="preserve">بیشینهٔ خطای نقطه‌ایِ حل‌گر</w:t>
      </w:r>
      <w:r>
        <w:rPr>
          <w:rtl/>
        </w:rPr>
        <w:t xml:space="preserve"> </w:t>
      </w:r>
      <w:r>
        <w:rPr>
          <w:b/>
          <w:bCs/>
          <w:rtl/>
        </w:rPr>
        <w:t xml:space="preserve">۰٫۳۲٪ از ΔT</w:t>
      </w:r>
      <w:r>
        <w:rPr>
          <w:rtl/>
        </w:rPr>
        <w:t xml:space="preserve"> </w:t>
      </w:r>
      <w:r>
        <w:rPr>
          <w:rtl/>
        </w:rPr>
        <w:t xml:space="preserve">و خطای L₂</w:t>
      </w:r>
      <w:r>
        <w:rPr>
          <w:rtl/>
        </w:rPr>
        <w:t xml:space="preserve"> </w:t>
      </w:r>
      <w:r>
        <w:rPr>
          <w:b/>
          <w:bCs/>
          <w:rtl/>
        </w:rPr>
        <w:t xml:space="preserve">۰٫۰۶۵٪</w:t>
      </w:r>
      <w:r>
        <w:rPr>
          <w:rtl/>
        </w:rPr>
        <w:t xml:space="preserve"> </w:t>
      </w:r>
      <w:r>
        <w:rPr>
          <w:rtl/>
        </w:rPr>
        <w:t xml:space="preserve">روی ریزترین شبکه، با کاهشِ یکنواخت زیرِ</w:t>
      </w:r>
      <w:r>
        <w:rPr>
          <w:rtl/>
        </w:rPr>
        <w:t xml:space="preserve"> </w:t>
      </w:r>
      <w:r>
        <w:rPr>
          <w:rtl/>
        </w:rPr>
        <w:t xml:space="preserve">ریزسازی (L∞ از ۱٫۳۴٪ به ۰٫۳۲٪ و L₂ از ۰٫۴۹٪ به ۰٫۰۶۵٪ برای ۴۹ تا ۱۴۷ نقطهٔ شعاعی)،</w:t>
      </w:r>
      <w:r>
        <w:rPr>
          <w:rtl/>
        </w:rPr>
        <w:t xml:space="preserve"> </w:t>
      </w:r>
      <w:r>
        <w:rPr>
          <w:rtl/>
        </w:rPr>
        <w:t xml:space="preserve">و ردیابیِ پیشانیِ موج با دقتِ کمتر از یک فاصلهٔ شبکه در همهٔ لحظات.</w:t>
      </w:r>
      <w:r>
        <w:rPr>
          <w:rtl/>
        </w:rPr>
        <w:t xml:space="preserve"> </w:t>
      </w:r>
      <w:r>
        <w:rPr>
          <w:rtl/>
        </w:rPr>
        <w:t xml:space="preserve">خروجی‌ها: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figures_validation/ls_wave_validation_R1.png</w:t>
      </w:r>
      <w:r>
        <w:rPr>
          <w:rtl/>
        </w:rPr>
        <w:t xml:space="preserve"> </w:t>
      </w:r>
      <w:r>
        <w:rPr>
          <w:rtl/>
        </w:rPr>
        <w:t xml:space="preserve">(همپوشانیِ کمّیِ حل‌گر و</w:t>
      </w:r>
      <w:r>
        <w:rPr>
          <w:rtl/>
        </w:rPr>
        <w:t xml:space="preserve"> </w:t>
      </w:r>
      <w:r>
        <w:rPr>
          <w:rtl/>
        </w:rPr>
        <w:t xml:space="preserve">حلِ دقیق + نمودارِ همگرایی) و دو جدولِ CSV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thesis_chapter/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b/>
          <w:bCs/>
          <w:rtl/>
        </w:rPr>
        <w:t xml:space="preserve">این کاهشِ یکنواختِ خطا هم‌زمان شاهدِ کمّیِ خواسته‌شده در بندِ ۲-۱ را فراهم می‌کند</w:t>
      </w:r>
      <w:r>
        <w:rPr>
          <w:rtl/>
        </w:rPr>
        <w:t xml:space="preserve"> </w:t>
      </w:r>
      <w:r>
        <w:rPr>
          <w:rtl/>
        </w:rPr>
        <w:t xml:space="preserve">که نوسان‌های پشتِ پیشانی اثرِ گسسته‌سازی (گیبس) است، نه ناپایداریِ فیزیکی.</w:t>
      </w:r>
    </w:p>
    <w:bookmarkEnd w:id="20"/>
    <w:bookmarkStart w:id="21" w:name="X7363ddfdcc23c9d9ca81506abebb4142da786e1"/>
    <w:p>
      <w:pPr>
        <w:pStyle w:val="Heading3"/>
        <w:bidi/>
      </w:pPr>
      <w:r>
        <w:rPr>
          <w:rtl/>
        </w:rPr>
        <w:t xml:space="preserve">۳-۲ [اولویت: کم] یکدست‌سازیِ نگارشِ نامِ مراجعِ محکِ مکانیکی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پاسخِ مکانیکیِ محک در بخش ۴-۴ به مرجع</w:t>
      </w:r>
      <w:r>
        <w:rPr>
          <w:rtl/>
        </w:rPr>
        <w:t xml:space="preserve"> </w:t>
      </w:r>
      <w:r>
        <w:rPr>
          <w:b/>
          <w:bCs/>
          <w:rtl/>
        </w:rPr>
        <w:t xml:space="preserve">[۳۱]</w:t>
      </w:r>
      <w:r>
        <w:rPr>
          <w:rtl/>
        </w:rPr>
        <w:t xml:space="preserve"> </w:t>
      </w:r>
      <w:r>
        <w:rPr>
          <w:rtl/>
        </w:rPr>
        <w:t xml:space="preserve">(ملک‌زاده و حیدرپور،</w:t>
      </w:r>
      <w:r>
        <w:rPr>
          <w:rtl/>
        </w:rPr>
        <w:t xml:space="preserve"> </w:t>
      </w:r>
      <w:r>
        <w:rPr>
          <w:rtl/>
        </w:rPr>
        <w:t xml:space="preserve">۲۰۱۲، IJPVP) نسبت داده شده و قراردادِ بی‌بعدسازی به مرجعِ جداگانهٔ</w:t>
      </w:r>
      <w:r>
        <w:rPr>
          <w:rtl/>
        </w:rPr>
        <w:t xml:space="preserve"> </w:t>
      </w:r>
      <w:r>
        <w:rPr>
          <w:b/>
          <w:bCs/>
          <w:rtl/>
        </w:rPr>
        <w:t xml:space="preserve">[۶۹]</w:t>
      </w:r>
      <w:r>
        <w:rPr>
          <w:rtl/>
        </w:rPr>
        <w:t xml:space="preserve"> </w:t>
      </w:r>
      <w:r>
        <w:rPr>
          <w:rtl/>
        </w:rPr>
        <w:t xml:space="preserve">(حیدرپور و همکاران، خطِ ۴۸). بررسیِ فهرست مراجع نشان می‌دهد این دو، آثارِ</w:t>
      </w:r>
      <w:r>
        <w:rPr>
          <w:rtl/>
        </w:rPr>
        <w:t xml:space="preserve"> </w:t>
      </w:r>
      <w:r>
        <w:rPr>
          <w:rtl/>
        </w:rPr>
        <w:t xml:space="preserve">متمایزند (اشتراک در نویسنده، نه یک اثرِ واحد)؛ پس شماره‌گذاری درست است و خطای</w:t>
      </w:r>
      <w:r>
        <w:rPr>
          <w:rtl/>
        </w:rPr>
        <w:t xml:space="preserve"> </w:t>
      </w:r>
      <w:r>
        <w:rPr>
          <w:rtl/>
        </w:rPr>
        <w:t xml:space="preserve">ارجاعی وجود ندارد. تنها پیشنهادِ ظاهری، یکدست‌سازیِ شیوهٔ نگارشِ نامِ نویسندگان</w:t>
      </w:r>
      <w:r>
        <w:rPr>
          <w:rtl/>
        </w:rPr>
        <w:t xml:space="preserve"> </w:t>
      </w:r>
      <w:r>
        <w:rPr>
          <w:rtl/>
        </w:rPr>
        <w:t xml:space="preserve">در سراسر فصل است.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ظاهرِ یکدستِ نام‌ها خوانایی را بهتر می‌کند، بدون هیچ تغییری در شماره‌ها.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بسیار کم.</w:t>
      </w:r>
    </w:p>
    <w:bookmarkEnd w:id="21"/>
    <w:bookmarkStart w:id="22" w:name="X49b1b9702bc872898f33e2424180205520d98b6"/>
    <w:p>
      <w:pPr>
        <w:pStyle w:val="Heading3"/>
        <w:bidi/>
      </w:pPr>
      <w:r>
        <w:rPr>
          <w:rtl/>
        </w:rPr>
        <w:t xml:space="preserve">۳-۳ [اولویت: متوسط] فقط دو محک از پنج، همپوشانِ دیداری دارند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بخش ۴-۴ می‌گوید «در هر آزمون … نتیجهٔ حاضر به‌صورت نمودار مقایسه‌ای رسم</w:t>
      </w:r>
      <w:r>
        <w:rPr>
          <w:rtl/>
        </w:rPr>
        <w:t xml:space="preserve"> </w:t>
      </w:r>
      <w:r>
        <w:rPr>
          <w:rtl/>
        </w:rPr>
        <w:t xml:space="preserve">می‌شود»، اما در عمل تنها دو شکل (bench1_U و bench2_T_profiles) درج شده و متن</w:t>
      </w:r>
      <w:r>
        <w:rPr>
          <w:rtl/>
        </w:rPr>
        <w:t xml:space="preserve"> </w:t>
      </w:r>
      <w:r>
        <w:rPr>
          <w:rtl/>
        </w:rPr>
        <w:t xml:space="preserve">اذعان می‌کند «دو آزمونی که با مراجعِ منتشرشده مقایسه می‌شوند در ادامه نشان داده</w:t>
      </w:r>
      <w:r>
        <w:rPr>
          <w:rtl/>
        </w:rPr>
        <w:t xml:space="preserve"> </w:t>
      </w:r>
      <w:r>
        <w:rPr>
          <w:rtl/>
        </w:rPr>
        <w:t xml:space="preserve">شده‌اند». پیشنهاد: افزودنِ نمودارهای همپوشانِ سه محکِ دیگر به پیوستِ صحت‌سنجی</w:t>
      </w:r>
      <w:r>
        <w:rPr>
          <w:rtl/>
        </w:rPr>
        <w:t xml:space="preserve"> </w:t>
      </w:r>
      <w:r>
        <w:rPr>
          <w:rtl/>
        </w:rPr>
        <w:t xml:space="preserve">(که REVISIONS به آن اشاره دارد اما هنوز «ساخته‌نشده» است — پیوست ب).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ادعای متن («در هر آزمون نمودار») با آنچه نشان داده می‌شود نمی‌خواند؛</w:t>
      </w:r>
      <w:r>
        <w:rPr>
          <w:rtl/>
        </w:rPr>
        <w:t xml:space="preserve"> </w:t>
      </w:r>
      <w:r>
        <w:rPr>
          <w:rtl/>
        </w:rPr>
        <w:t xml:space="preserve">پیوستِ صحت‌سنجیِ ب هنوز ساخته نشده (طبق REVISIONS.md ردیفِ «Appendix B … not</w:t>
      </w:r>
      <w:r>
        <w:rPr>
          <w:rtl/>
        </w:rPr>
        <w:t xml:space="preserve"> </w:t>
      </w:r>
      <w:r>
        <w:rPr>
          <w:rtl/>
        </w:rPr>
        <w:t xml:space="preserve">built yet»).</w:t>
      </w:r>
    </w:p>
    <w:p>
      <w:pPr>
        <w:pStyle w:val="Compact"/>
        <w:numPr>
          <w:ilvl w:val="0"/>
          <w:numId w:val="1012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متوسط (رندرِ نمودارها + مونتاژِ پیوست ب).</w:t>
      </w:r>
    </w:p>
    <w:bookmarkEnd w:id="22"/>
    <w:bookmarkStart w:id="23" w:name="X230ab887252cabe2980488fd398d52fd4bd2e9c"/>
    <w:p>
      <w:pPr>
        <w:pStyle w:val="Heading3"/>
        <w:bidi/>
      </w:pPr>
      <w:r>
        <w:rPr>
          <w:rtl/>
        </w:rPr>
        <w:t xml:space="preserve">۳-۴ [اولویت: کم] نبودِ آزمونِ پایستگیِ انرژی به‌عنوان محکِ درونی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[گمانه‌ای] هیچ محکِ پایستگیِ سراسری (توازنِ انرژیِ حرارتی–مکانیکی در</w:t>
      </w:r>
      <w:r>
        <w:rPr>
          <w:rtl/>
        </w:rPr>
        <w:t xml:space="preserve"> </w:t>
      </w:r>
      <w:r>
        <w:rPr>
          <w:rtl/>
        </w:rPr>
        <w:t xml:space="preserve">حالتِ ممزوج) در فصل ۴ نیست. افزودنِ یک وارسیِ توازنِ انرژی می‌تواند یک محکِ</w:t>
      </w:r>
      <w:r>
        <w:rPr>
          <w:rtl/>
        </w:rPr>
        <w:t xml:space="preserve"> </w:t>
      </w:r>
      <w:r>
        <w:rPr>
          <w:rtl/>
        </w:rPr>
        <w:t xml:space="preserve">درونیِ ارزان و مستقل از مرجعِ بیرونی باشد.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در دستگاهِ ممزوجِ بدونِ میراییِ الگوریتمی، توازنِ انرژی باید به‌جز اتلافِ</w:t>
      </w:r>
      <w:r>
        <w:rPr>
          <w:rtl/>
        </w:rPr>
        <w:t xml:space="preserve"> </w:t>
      </w:r>
      <w:r>
        <w:rPr>
          <w:rtl/>
        </w:rPr>
        <w:t xml:space="preserve">ترموالاستیک بسته شود؛ این یک آزمونِ سلامتِ مستقل از مراجع است.</w:t>
      </w:r>
    </w:p>
    <w:p>
      <w:pPr>
        <w:pStyle w:val="Compact"/>
        <w:numPr>
          <w:ilvl w:val="0"/>
          <w:numId w:val="1013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متوسط.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مطالعات-پارامتری-ارزشمند-افزودنی"/>
    <w:p>
      <w:pPr>
        <w:pStyle w:val="Heading2"/>
        <w:bidi/>
      </w:pPr>
      <w:r>
        <w:rPr>
          <w:rtl/>
        </w:rPr>
        <w:t xml:space="preserve">۴. مطالعاتِ پارامتریِ ارزشمندِ افزودنی</w:t>
      </w:r>
    </w:p>
    <w:bookmarkStart w:id="25" w:name="Xc37ebe445ec8bb0684fead73b22d087bf3a6a33"/>
    <w:p>
      <w:pPr>
        <w:pStyle w:val="Heading3"/>
        <w:bidi/>
      </w:pPr>
      <w:r>
        <w:rPr>
          <w:rtl/>
        </w:rPr>
        <w:t xml:space="preserve">۴-۱ [اولویت: بالا] ادعای «غلبهٔ b/t در کسر وزنیِ بالا» بدونِ داده مانده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بخش ۴-۸ می‌گوید نسبت‌های ابعادیِ پلاکت در کسر وزنیِ مرجعِ ۰٫۳٪ فقط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 «برخلافِ رژیمِ کسر وزنیِ بالا که نسبت عرض‌به‌ضخامت در آن</w:t>
      </w:r>
      <w:r>
        <w:rPr>
          <w:rtl/>
        </w:rPr>
        <w:t xml:space="preserve"> </w:t>
      </w:r>
      <w:r>
        <w:rPr>
          <w:rtl/>
        </w:rPr>
        <w:t xml:space="preserve">غالب است» — اما هیچ شکل یا عددی برای این رژیمِ بالا ارائه نمی‌شود. پیشنهاد:</w:t>
      </w:r>
      <w:r>
        <w:rPr>
          <w:rtl/>
        </w:rPr>
        <w:t xml:space="preserve"> </w:t>
      </w:r>
      <w:r>
        <w:rPr>
          <w:rtl/>
        </w:rPr>
        <w:t xml:space="preserve">اجرای همان جاروبِ a/b و b/t در W=۴٪ یا ۸٪ (که کدِ R6 با cfg-overridable</w:t>
      </w:r>
      <w:r>
        <w:rPr>
          <w:rtl/>
        </w:rPr>
        <w:t xml:space="preserve"> </w:t>
      </w:r>
      <w:r>
        <w:rPr>
          <w:rtl/>
        </w:rPr>
        <w:t xml:space="preserve">GPL dims پشتیبانی می‌کند).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این تنها ادعای فصل است که صریحاً یک رژیم را نام می‌برد اما داده‌اش را</w:t>
      </w:r>
      <w:r>
        <w:rPr>
          <w:rtl/>
        </w:rPr>
        <w:t xml:space="preserve"> </w:t>
      </w:r>
      <w:r>
        <w:rPr>
          <w:rtl/>
        </w:rPr>
        <w:t xml:space="preserve">نشان نمی‌دهد؛ کد و کمپینِ لازم آماده‌اند، پس بستنِ این شکاف کم‌هزینه و ادعا را</w:t>
      </w:r>
      <w:r>
        <w:rPr>
          <w:rtl/>
        </w:rPr>
        <w:t xml:space="preserve"> </w:t>
      </w:r>
      <w:r>
        <w:rPr>
          <w:rtl/>
        </w:rPr>
        <w:t xml:space="preserve">مستند می‌کند.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 تا متوسط (چند اجرای پارامتری + یک شکل).</w:t>
      </w:r>
    </w:p>
    <w:bookmarkEnd w:id="25"/>
    <w:bookmarkStart w:id="26" w:name="X827dfee75082276c7cc934fa8b432adf0bb4030"/>
    <w:p>
      <w:pPr>
        <w:pStyle w:val="Heading3"/>
        <w:bidi/>
      </w:pPr>
      <w:r>
        <w:rPr>
          <w:rtl/>
        </w:rPr>
        <w:t xml:space="preserve">۴-۲ [اولویت: متوسط] جاروبِ زمانِ تخفیف τ* فقط سه نقطهٔ ناصفر دارد</w:t>
      </w:r>
    </w:p>
    <w:p>
      <w:pPr>
        <w:pStyle w:val="Compact"/>
        <w:numPr>
          <w:ilvl w:val="0"/>
          <w:numId w:val="1015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بخش ۴-۹ فقط τ* = ۰٫۰۴، ۰٫۱۵ و ۰٫۴۴ (به‌علاوهٔ فوریه) را می‌آزماید و</w:t>
      </w:r>
      <w:r>
        <w:rPr>
          <w:rtl/>
        </w:rPr>
        <w:t xml:space="preserve"> </w:t>
      </w:r>
      <w:r>
        <w:rPr>
          <w:rtl/>
        </w:rPr>
        <w:t xml:space="preserve">نشان می‌دهد فراجهش در ۰٫۴۴ به ۱٫۱۶۶ می‌رسد. پیشنهاد: چند نقطهٔ میانیِ افزوده تا</w:t>
      </w:r>
      <w:r>
        <w:rPr>
          <w:rtl/>
        </w:rPr>
        <w:t xml:space="preserve"> </w:t>
      </w:r>
      <w:r>
        <w:rPr>
          <w:b/>
          <w:bCs/>
          <w:rtl/>
        </w:rPr>
        <w:t xml:space="preserve">آستانه‌ای</w:t>
      </w:r>
      <w:r>
        <w:rPr>
          <w:rtl/>
        </w:rPr>
        <w:t xml:space="preserve"> </w:t>
      </w:r>
      <w:r>
        <w:rPr>
          <w:rtl/>
        </w:rPr>
        <w:t xml:space="preserve">که فراجهش از واحد عبور می‌کند به‌صورتِ منحنیِ پیوستهٔ «بیشینهٔ دما</w:t>
      </w:r>
      <w:r>
        <w:rPr>
          <w:rtl/>
        </w:rPr>
        <w:t xml:space="preserve"> </w:t>
      </w:r>
      <w:r>
        <w:rPr>
          <w:rtl/>
        </w:rPr>
        <w:t xml:space="preserve">بر حسب τ*» رسم شود.</w:t>
      </w:r>
    </w:p>
    <w:p>
      <w:pPr>
        <w:pStyle w:val="Compact"/>
        <w:numPr>
          <w:ilvl w:val="0"/>
          <w:numId w:val="1015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امضای موج — نوآوریِ مرکزی — با τ* کنترل می‌شود؛ یک منحنیِ پیوسته به‌جای</w:t>
      </w:r>
      <w:r>
        <w:rPr>
          <w:rtl/>
        </w:rPr>
        <w:t xml:space="preserve"> </w:t>
      </w:r>
      <w:r>
        <w:rPr>
          <w:rtl/>
        </w:rPr>
        <w:t xml:space="preserve">سه نقطه، آستانهٔ عملیِ اهمیتِ لرد–شولمن را کمّی می‌کند و پیامِ طراحیِ فصل را</w:t>
      </w:r>
      <w:r>
        <w:rPr>
          <w:rtl/>
        </w:rPr>
        <w:t xml:space="preserve"> </w:t>
      </w:r>
      <w:r>
        <w:rPr>
          <w:rtl/>
        </w:rPr>
        <w:t xml:space="preserve">تیزتر می‌سازد.</w:t>
      </w:r>
    </w:p>
    <w:p>
      <w:pPr>
        <w:pStyle w:val="Compact"/>
        <w:numPr>
          <w:ilvl w:val="0"/>
          <w:numId w:val="1015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کم.</w:t>
      </w:r>
    </w:p>
    <w:bookmarkEnd w:id="26"/>
    <w:bookmarkStart w:id="27" w:name="Xe2c63d4fac4a557a0b80b70c41261e97a95d521"/>
    <w:p>
      <w:pPr>
        <w:pStyle w:val="Heading3"/>
        <w:bidi/>
      </w:pPr>
      <w:r>
        <w:rPr>
          <w:rtl/>
        </w:rPr>
        <w:t xml:space="preserve">۴-۳ [اولویت: متوسط] نبودِ جاروبِ زمانِ خیزِ بارگذاری (t0)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ثابتِ زمانیِ شیبِ حرارتی t0=۲ ثانیه در سراسرِ فصل ثابت است (به‌جز</w:t>
      </w:r>
      <w:r>
        <w:rPr>
          <w:rtl/>
        </w:rPr>
        <w:t xml:space="preserve"> </w:t>
      </w:r>
      <w:r>
        <w:rPr>
          <w:rtl/>
        </w:rPr>
        <w:t xml:space="preserve">مطالعهٔ گاوسیِ ۴-۱۷). پیشنهاد: جاروبِ t0 (مثلاً ۰٫۵، ۲، ۱۰ ثانیه) تا نشان دهد</w:t>
      </w:r>
      <w:r>
        <w:rPr>
          <w:rtl/>
        </w:rPr>
        <w:t xml:space="preserve"> </w:t>
      </w:r>
      <w:r>
        <w:rPr>
          <w:rtl/>
        </w:rPr>
        <w:t xml:space="preserve">چگونه تندیِ پیشانیِ ورودی، دامنهٔ موجِ صوتِ دوم و فراجهش را تعیین می‌کند.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تندیِ خیزِ ورودی مستقیماً محتوای بسامدیِ شوک و در نتیجه قدرتِ موجِ</w:t>
      </w:r>
      <w:r>
        <w:rPr>
          <w:rtl/>
        </w:rPr>
        <w:t xml:space="preserve"> </w:t>
      </w:r>
      <w:r>
        <w:rPr>
          <w:rtl/>
        </w:rPr>
        <w:t xml:space="preserve">هذلولوی را کنترل می‌کند؛ این پلی مستقیم است میان بارگذاریِ واقع‌گرایانه و اهمیتِ</w:t>
      </w:r>
      <w:r>
        <w:rPr>
          <w:rtl/>
        </w:rPr>
        <w:t xml:space="preserve"> </w:t>
      </w:r>
      <w:r>
        <w:rPr>
          <w:rtl/>
        </w:rPr>
        <w:t xml:space="preserve">نظریهٔ تعمیم‌یافته — و کد از راهِ t0_ramp بی‌درنگ پشتیبانی می‌کند.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کم.</w:t>
      </w:r>
    </w:p>
    <w:bookmarkEnd w:id="27"/>
    <w:bookmarkStart w:id="28" w:name="Xab51ad6f085c3344e25edb9459d2cd6632adeaf"/>
    <w:p>
      <w:pPr>
        <w:pStyle w:val="Heading3"/>
        <w:bidi/>
      </w:pPr>
      <w:r>
        <w:rPr>
          <w:rtl/>
        </w:rPr>
        <w:t xml:space="preserve">۴-۴ [اولویت: کم] مطالعهٔ همبستهٔ ضخامت–τ* یا ضخامت–t0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[گمانه‌ای] بخش ۴-۱۶ نشان می‌دهد جدارهٔ ضخیم موج را در بازهٔ مشاهده کامل</w:t>
      </w:r>
      <w:r>
        <w:rPr>
          <w:rtl/>
        </w:rPr>
        <w:t xml:space="preserve"> </w:t>
      </w:r>
      <w:r>
        <w:rPr>
          <w:rtl/>
        </w:rPr>
        <w:t xml:space="preserve">عبور نمی‌دهد؛ یک مطالعهٔ دوپارامتریِ ضخامت×زمانِ تخفیف می‌تواند نقشهٔ رژیم‌های</w:t>
      </w:r>
      <w:r>
        <w:rPr>
          <w:rtl/>
        </w:rPr>
        <w:t xml:space="preserve"> </w:t>
      </w:r>
      <w:r>
        <w:rPr>
          <w:rtl/>
        </w:rPr>
        <w:t xml:space="preserve">«موج‌غالب» در برابر «پخش‌غالب» را بسازد.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ترکیبِ دو اهرمی که مسئله را از هذلولوی به شبه‌سهموی می‌برد، برای طراح</w:t>
      </w:r>
      <w:r>
        <w:rPr>
          <w:rtl/>
        </w:rPr>
        <w:t xml:space="preserve"> </w:t>
      </w:r>
      <w:r>
        <w:rPr>
          <w:rtl/>
        </w:rPr>
        <w:t xml:space="preserve">ارزشمندتر از هر یک به‌تنهایی است.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متوسط (کمپینِ دوبعدی).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کیفیت-کد-و-بازتولیدپذیری"/>
    <w:p>
      <w:pPr>
        <w:pStyle w:val="Heading2"/>
        <w:bidi/>
      </w:pPr>
      <w:r>
        <w:rPr>
          <w:rtl/>
        </w:rPr>
        <w:t xml:space="preserve">۵. کیفیتِ کد و بازتولیدپذیری</w:t>
      </w:r>
    </w:p>
    <w:bookmarkStart w:id="30" w:name="X1a7ef39f547f2750c967885eaeab8805f1483e4"/>
    <w:p>
      <w:pPr>
        <w:pStyle w:val="Heading3"/>
        <w:bidi/>
      </w:pPr>
      <w:r>
        <w:rPr>
          <w:rtl/>
        </w:rPr>
        <w:t xml:space="preserve">۵-۱ [اولویت: بالا] مقادیرِ پیش‌فرضِ حل‌گر با حالتِ مرجعِ فصل ۴ نمی‌خوانند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بلوکِ پیکربندیِ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LSTE_solver_R7.m</w:t>
      </w:r>
      <w:r>
        <w:rPr>
          <w:rtl/>
        </w:rPr>
        <w:t xml:space="preserve"> </w:t>
      </w:r>
      <w:r>
        <w:rPr>
          <w:rtl/>
        </w:rPr>
        <w:t xml:space="preserve">این پیش‌فرض‌ها را دارد: NL=۵، R_i=۰٫۱،</w:t>
      </w:r>
      <w:r>
        <w:rPr>
          <w:rtl/>
        </w:rPr>
        <w:t xml:space="preserve"> </w:t>
      </w:r>
      <w:r>
        <w:rPr>
          <w:rtl/>
        </w:rPr>
        <w:t xml:space="preserve">R_o=۰٫۲، L=۰٫۵، N_r=۹، N_z=۱۱، W_GPL_total=۰٫۰۴، em3=۰٫۸۹۸۰، tau0=۱e-۵،</w:t>
      </w:r>
      <w:r>
        <w:rPr>
          <w:rtl/>
        </w:rPr>
        <w:t xml:space="preserve"> </w:t>
      </w:r>
      <w:r>
        <w:rPr>
          <w:rtl/>
        </w:rPr>
        <w:t xml:space="preserve">h_c=۱۰۰، T_in_val=۵۰۰، total_time=۰٫۰۵، dt=۵e-۴، و حتی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out_name='Results_LSTE_solver_R5.mat'</w:t>
      </w:r>
      <w:r>
        <w:rPr>
          <w:rtl/>
        </w:rPr>
        <w:t xml:space="preserve">. اما حالتِ مرجعِ فصل ۴ کاملاً متفاوت است:</w:t>
      </w:r>
      <w:r>
        <w:rPr>
          <w:rtl/>
        </w:rPr>
        <w:t xml:space="preserve"> </w:t>
      </w:r>
      <w:r>
        <w:rPr>
          <w:rtl/>
        </w:rPr>
        <w:t xml:space="preserve">NL=۷، R_i=۱، R_o=۱٫۵، L=۲٫۱، N_r=۱۵، W=۰٫۳٪، tau0≈۴۱۸ ثانیه (τ*=۰٫۱۵)، h_c=۱۰،</w:t>
      </w:r>
      <w:r>
        <w:rPr>
          <w:rtl/>
        </w:rPr>
        <w:t xml:space="preserve"> </w:t>
      </w:r>
      <w:r>
        <w:rPr>
          <w:rtl/>
        </w:rPr>
        <w:t xml:space="preserve">T از ۳۰۰ به ۶۰۰، dt=۱، تا ۳۰۰۰ ثانیه. یعنی هرکس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LSTE_solver_R7.m</w:t>
      </w:r>
      <w:r>
        <w:rPr>
          <w:rtl/>
        </w:rPr>
        <w:t xml:space="preserve"> </w:t>
      </w:r>
      <w:r>
        <w:rPr>
          <w:rtl/>
        </w:rPr>
        <w:t xml:space="preserve">را به‌تنهایی</w:t>
      </w:r>
      <w:r>
        <w:rPr>
          <w:rtl/>
        </w:rPr>
        <w:t xml:space="preserve"> </w:t>
      </w:r>
      <w:r>
        <w:rPr>
          <w:rtl/>
        </w:rPr>
        <w:t xml:space="preserve">اجرا کند، مسئلهٔ</w:t>
      </w:r>
      <w:r>
        <w:rPr>
          <w:rtl/>
        </w:rPr>
        <w:t xml:space="preserve"> </w:t>
      </w:r>
      <w:r>
        <w:rPr>
          <w:b/>
          <w:bCs/>
          <w:rtl/>
        </w:rPr>
        <w:t xml:space="preserve">هندسهٔ قدیمی</w:t>
      </w:r>
      <w:r>
        <w:rPr>
          <w:rtl/>
        </w:rPr>
        <w:t xml:space="preserve"> </w:t>
      </w:r>
      <w:r>
        <w:rPr>
          <w:rtl/>
        </w:rPr>
        <w:t xml:space="preserve">را می‌گیرد، نه حالتِ مرجعِ پایان‌نامه؛ حالتِ</w:t>
      </w:r>
      <w:r>
        <w:rPr>
          <w:rtl/>
        </w:rPr>
        <w:t xml:space="preserve"> </w:t>
      </w:r>
      <w:r>
        <w:rPr>
          <w:rtl/>
        </w:rPr>
        <w:t xml:space="preserve">مرجع فقط از راهِ اسکریپت‌های cfgِ کمپین زنده است. پیشنهاد: در یک بازنگریِ تازه،</w:t>
      </w:r>
      <w:r>
        <w:rPr>
          <w:rtl/>
        </w:rPr>
        <w:t xml:space="preserve"> </w:t>
      </w:r>
      <w:r>
        <w:rPr>
          <w:rtl/>
        </w:rPr>
        <w:t xml:space="preserve">پیش‌فرض‌های بلوکِ پیکربندی به حالتِ مرجعِ فصل ۴ به‌روز شوند (و out_name به نامِ</w:t>
      </w:r>
      <w:r>
        <w:rPr>
          <w:rtl/>
        </w:rPr>
        <w:t xml:space="preserve"> </w:t>
      </w:r>
      <w:r>
        <w:rPr>
          <w:rtl/>
        </w:rPr>
        <w:t xml:space="preserve">درست)، یا دست‌کم یک فایلِ cfgِ مرجعِ نام‌گذاری‌شده کنارِ حل‌گر قرار گیرد و در سرآیند</w:t>
      </w:r>
      <w:r>
        <w:rPr>
          <w:rtl/>
        </w:rPr>
        <w:t xml:space="preserve"> </w:t>
      </w:r>
      <w:r>
        <w:rPr>
          <w:rtl/>
        </w:rPr>
        <w:t xml:space="preserve">به آن ارجاع داده شود.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این جدی‌ترین ریسکِ بازتولیدپذیریِ پروژه است: فایلِ حل‌گرِ «جاری» به‌تنهایی</w:t>
      </w:r>
      <w:r>
        <w:rPr>
          <w:rtl/>
        </w:rPr>
        <w:t xml:space="preserve"> </w:t>
      </w:r>
      <w:r>
        <w:rPr>
          <w:rtl/>
        </w:rPr>
        <w:t xml:space="preserve">اعدادِ فصل ۴ را بازتولید نمی‌کند و بازتولید کاملاً به اسکریپت‌های درایورِ پوشهٔ</w:t>
      </w:r>
      <w:r>
        <w:rPr>
          <w:rtl/>
        </w:rPr>
        <w:t xml:space="preserve"> </w:t>
      </w:r>
      <w:r>
        <w:rPr>
          <w:rtl/>
        </w:rPr>
        <w:t xml:space="preserve">campaign وابسته است. یک داور یا پژوهشگرِ آینده که فقط حل‌گر را باز کند گمراه می‌شود.</w:t>
      </w:r>
    </w:p>
    <w:p>
      <w:pPr>
        <w:pStyle w:val="Compact"/>
        <w:numPr>
          <w:ilvl w:val="0"/>
          <w:numId w:val="1018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 (تغییرِ مقادیرِ پیش‌فرض + افزودنِ cfgِ مرجع؛ با آزمونِ پس‌رفت).</w:t>
      </w:r>
    </w:p>
    <w:bookmarkEnd w:id="30"/>
    <w:bookmarkStart w:id="31" w:name="X54e82488dd6e1eaf784407285c0981ad8210591"/>
    <w:p>
      <w:pPr>
        <w:pStyle w:val="Heading3"/>
        <w:bidi/>
      </w:pPr>
      <w:r>
        <w:rPr>
          <w:rtl/>
        </w:rPr>
        <w:t xml:space="preserve">۵-۲ [اولویت: بالا] مونتاژِ ماتریس با درج‌های تک‌عنصری در ماتریسِ اسپارس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بخش ۴٫۱ کد (خطوطِ ~۴۳۵–۵۶۰) ماتریس‌های K، C، M را با حلقه‌های تودرتوی</w:t>
      </w:r>
      <w:r>
        <w:rPr>
          <w:rtl/>
        </w:rPr>
        <w:t xml:space="preserve"> </w:t>
      </w:r>
      <w:r>
        <w:rPr>
          <w:rtl/>
        </w:rPr>
        <w:t xml:space="preserve">چهارگانه و انتسابِ تک‌عنصریِ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K(eqU,cW) = K(eqU,cW) - ...</w:t>
      </w:r>
      <w:r>
        <w:rPr>
          <w:rtl/>
        </w:rPr>
        <w:t xml:space="preserve"> </w:t>
      </w:r>
      <w:r>
        <w:rPr>
          <w:rtl/>
        </w:rPr>
        <w:t xml:space="preserve">مستقیماً درونِ یک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sparse(Ndof,Ndof)</w:t>
      </w:r>
      <w:r>
        <w:rPr>
          <w:rtl/>
        </w:rPr>
        <w:t xml:space="preserve"> </w:t>
      </w:r>
      <w:r>
        <w:rPr>
          <w:rtl/>
        </w:rPr>
        <w:t xml:space="preserve">پُر می‌کند؛ همچنین بندهای BC بارها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K(n,:)=0</w:t>
      </w:r>
      <w:r>
        <w:rPr>
          <w:rtl/>
        </w:rPr>
        <w:t xml:space="preserve"> </w:t>
      </w:r>
      <w:r>
        <w:rPr>
          <w:rtl/>
        </w:rPr>
        <w:t xml:space="preserve">روی سطرِ اسپارس</w:t>
      </w:r>
      <w:r>
        <w:rPr>
          <w:rtl/>
        </w:rPr>
        <w:t xml:space="preserve"> </w:t>
      </w:r>
      <w:r>
        <w:rPr>
          <w:rtl/>
        </w:rPr>
        <w:t xml:space="preserve">اجرا می‌کنند. پیشنهاد: در یک بازنگریِ تازه، مونتاژ به شیوهٔ سه‌گانه‌ (i,j,v) و</w:t>
      </w:r>
      <w:r>
        <w:rPr>
          <w:rtl/>
        </w:rPr>
        <w:t xml:space="preserve"> </w:t>
      </w:r>
      <w:r>
        <w:rPr>
          <w:rtl/>
        </w:rPr>
        <w:t xml:space="preserve">یک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sparse(I,J,V)</w:t>
      </w:r>
      <w:r>
        <w:rPr>
          <w:rtl/>
        </w:rPr>
        <w:t xml:space="preserve"> </w:t>
      </w:r>
      <w:r>
        <w:rPr>
          <w:rtl/>
        </w:rPr>
        <w:t xml:space="preserve">نهایی بازنویسی شود.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رشد‌دادنِ یک ماتریسِ اسپارس با درجِ عنصر‌به‌عنصر در متلب هر بار</w:t>
      </w:r>
      <w:r>
        <w:rPr>
          <w:rtl/>
        </w:rPr>
        <w:t xml:space="preserve"> </w:t>
      </w:r>
      <w:r>
        <w:rPr>
          <w:rtl/>
        </w:rPr>
        <w:t xml:space="preserve">ساختارِ اسپارس را بازتخصیص می‌کند و پیچیدگی را به‌شدت بالا می‌برد؛ جدول ۴-۳</w:t>
      </w:r>
      <w:r>
        <w:rPr>
          <w:rtl/>
        </w:rPr>
        <w:t xml:space="preserve"> </w:t>
      </w:r>
      <w:r>
        <w:rPr>
          <w:rtl/>
        </w:rPr>
        <w:t xml:space="preserve">زمانِ حل را تا ۱۶۳۰ ثانیه برای N_z=۱۵ گزارش می‌کند و کمپینِ ۸۱ حالته هر بار کل</w:t>
      </w:r>
      <w:r>
        <w:rPr>
          <w:rtl/>
        </w:rPr>
        <w:t xml:space="preserve"> </w:t>
      </w:r>
      <w:r>
        <w:rPr>
          <w:rtl/>
        </w:rPr>
        <w:t xml:space="preserve">مونتاژ را تکرار می‌کند. مونتاژِ سه‌گانه معمولاً این هزینه را چند برابر کاهش</w:t>
      </w:r>
      <w:r>
        <w:rPr>
          <w:rtl/>
        </w:rPr>
        <w:t xml:space="preserve"> </w:t>
      </w:r>
      <w:r>
        <w:rPr>
          <w:rtl/>
        </w:rPr>
        <w:t xml:space="preserve">می‌دهد و مطالعاتِ آینده (بندهای ۴-۱ تا ۴-۴) را عملی‌تر می‌کند.</w:t>
      </w:r>
    </w:p>
    <w:p>
      <w:pPr>
        <w:pStyle w:val="Compact"/>
        <w:numPr>
          <w:ilvl w:val="0"/>
          <w:numId w:val="1019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متوسط (بازنویسیِ مونتاژ + آزمونِ پس‌رفتِ رقم‌به‌رقم در برابرِ R7).</w:t>
      </w:r>
    </w:p>
    <w:bookmarkEnd w:id="31"/>
    <w:bookmarkStart w:id="32" w:name="X2823ad9b32a103834ff492b99aec2580c3afccc"/>
    <w:p>
      <w:pPr>
        <w:pStyle w:val="Heading3"/>
        <w:bidi/>
      </w:pPr>
      <w:r>
        <w:rPr>
          <w:rtl/>
        </w:rPr>
        <w:t xml:space="preserve">۵-۳ [اولویت: متوسط] استفاده از eval برای اعمالِ cfg</w:t>
      </w:r>
    </w:p>
    <w:p>
      <w:pPr>
        <w:pStyle w:val="Compact"/>
        <w:numPr>
          <w:ilvl w:val="0"/>
          <w:numId w:val="1020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خطِ ۲۴۷ کد: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eval([fn{iov} ' = cfg.(fn{iov});'])</w:t>
      </w:r>
      <w:r>
        <w:rPr>
          <w:rtl/>
        </w:rPr>
        <w:t xml:space="preserve"> </w:t>
      </w:r>
      <w:r>
        <w:rPr>
          <w:rtl/>
        </w:rPr>
        <w:t xml:space="preserve">هر فیلدِ cfg را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eval</w:t>
      </w:r>
      <w:r>
        <w:rPr>
          <w:rtl/>
        </w:rPr>
        <w:t xml:space="preserve"> </w:t>
      </w:r>
      <w:r>
        <w:rPr>
          <w:rtl/>
        </w:rPr>
        <w:t xml:space="preserve">به یک متغیرِ کارگاهی می‌ریزد. پیشنهاد: جایگزینی با یک نگاشتِ صریحِ</w:t>
      </w:r>
      <w:r>
        <w:rPr>
          <w:rtl/>
        </w:rPr>
        <w:t xml:space="preserve"> </w:t>
      </w:r>
      <w:r>
        <w:rPr>
          <w:rtl/>
        </w:rPr>
        <w:t xml:space="preserve">فیلد→متغیر (یا انتقالِ همهٔ پیکربندی به یک structِ یگانه) در بازنگریِ تازه.</w:t>
      </w:r>
    </w:p>
    <w:p>
      <w:pPr>
        <w:pStyle w:val="Compact"/>
        <w:numPr>
          <w:ilvl w:val="0"/>
          <w:numId w:val="1020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eval</w:t>
      </w:r>
      <w:r>
        <w:rPr>
          <w:rtl/>
        </w:rPr>
        <w:t xml:space="preserve"> </w:t>
      </w:r>
      <w:r>
        <w:rPr>
          <w:rtl/>
        </w:rPr>
        <w:t xml:space="preserve">شکننده، کندِ اجرا و دشوار برای اشکال‌زدایی است؛ گرچه هشدارِ</w:t>
      </w:r>
      <w:r>
        <w:rPr>
          <w:rtl/>
        </w:rPr>
        <w:t xml:space="preserve"> </w:t>
      </w:r>
      <w:r>
        <w:rPr>
          <w:rtl/>
        </w:rPr>
        <w:t xml:space="preserve">فیلدِ ناشناخته (خطِ ۲۴۴) کمک می‌کند، الگوی eval برای کدِ پایان‌نامه‌ای که باید</w:t>
      </w:r>
      <w:r>
        <w:rPr>
          <w:rtl/>
        </w:rPr>
        <w:t xml:space="preserve"> </w:t>
      </w:r>
      <w:r>
        <w:rPr>
          <w:rtl/>
        </w:rPr>
        <w:t xml:space="preserve">ماندگار و قابلِ ممیزی باشد نامطلوب است.</w:t>
      </w:r>
    </w:p>
    <w:p>
      <w:pPr>
        <w:pStyle w:val="Compact"/>
        <w:numPr>
          <w:ilvl w:val="0"/>
          <w:numId w:val="1020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متوسط.</w:t>
      </w:r>
    </w:p>
    <w:bookmarkEnd w:id="32"/>
    <w:bookmarkStart w:id="33" w:name="X5a5550fc4f0d6819d92fd67c81a049abeca9b0c"/>
    <w:p>
      <w:pPr>
        <w:pStyle w:val="Heading3"/>
        <w:bidi/>
      </w:pPr>
      <w:r>
        <w:rPr>
          <w:rtl/>
        </w:rPr>
        <w:t xml:space="preserve">۵-۴ [اولویت: متوسط] توضیحاتِ کهنه و متناقض درونِ سرآیندِ کد</w:t>
      </w:r>
    </w:p>
    <w:p>
      <w:pPr>
        <w:pStyle w:val="Compact"/>
        <w:numPr>
          <w:ilvl w:val="0"/>
          <w:numId w:val="1021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سرآیندِ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LSTE_solver_R7.m</w:t>
      </w:r>
      <w:r>
        <w:rPr>
          <w:rtl/>
        </w:rPr>
        <w:t xml:space="preserve"> </w:t>
      </w:r>
      <w:r>
        <w:rPr>
          <w:rtl/>
        </w:rPr>
        <w:t xml:space="preserve">هنوز بلوکِ «PENDING DECISIONS» (خطوطِ ۸۹–۹۲) را</w:t>
      </w:r>
      <w:r>
        <w:rPr>
          <w:rtl/>
        </w:rPr>
        <w:t xml:space="preserve"> </w:t>
      </w:r>
      <w:r>
        <w:rPr>
          <w:rtl/>
        </w:rPr>
        <w:t xml:space="preserve">دارد که فرمول‌های تخلخلِ O/X/V/A و مقادیرِ بارگذاری را «تا حلِ مسئله در</w:t>
      </w:r>
      <w:r>
        <w:rPr>
          <w:rtl/>
        </w:rPr>
        <w:t xml:space="preserve"> </w:t>
      </w:r>
      <w:r>
        <w:rPr>
          <w:rtl/>
        </w:rPr>
        <w:t xml:space="preserve">پایان‌نامه استفاده نکنید» می‌خواند، و خطوطِ ۱۶۲–۱۶۵ می‌گویند «فقط UD کاملاً</w:t>
      </w:r>
      <w:r>
        <w:rPr>
          <w:rtl/>
        </w:rPr>
        <w:t xml:space="preserve"> </w:t>
      </w:r>
      <w:r>
        <w:rPr>
          <w:rtl/>
        </w:rPr>
        <w:t xml:space="preserve">تأیید شده» — حال آنکه بخشِ R3_1 (خطِ ۲۹۳) صریحاً می‌گوید «همهٔ الگوها تأیید شدند؛</w:t>
      </w:r>
      <w:r>
        <w:rPr>
          <w:rtl/>
        </w:rPr>
        <w:t xml:space="preserve"> </w:t>
      </w:r>
      <w:r>
        <w:rPr>
          <w:rtl/>
        </w:rPr>
        <w:t xml:space="preserve">هشدارها حذف شدند» و MEMORY نیز تخلخل را RESOLVED می‌داند. پیشنهاد: پاک‌سازیِ این</w:t>
      </w:r>
      <w:r>
        <w:rPr>
          <w:rtl/>
        </w:rPr>
        <w:t xml:space="preserve"> </w:t>
      </w:r>
      <w:r>
        <w:rPr>
          <w:rtl/>
        </w:rPr>
        <w:t xml:space="preserve">توضیحاتِ کهنه در بازنگریِ تازه.</w:t>
      </w:r>
    </w:p>
    <w:p>
      <w:pPr>
        <w:pStyle w:val="Compact"/>
        <w:numPr>
          <w:ilvl w:val="0"/>
          <w:numId w:val="1021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توضیحاتِ متناقض درونِ کدِ نهایی، هم برای داور و هم برای نگهداریِ آینده</w:t>
      </w:r>
      <w:r>
        <w:rPr>
          <w:rtl/>
        </w:rPr>
        <w:t xml:space="preserve"> </w:t>
      </w:r>
      <w:r>
        <w:rPr>
          <w:rtl/>
        </w:rPr>
        <w:t xml:space="preserve">گمراه‌کننده است؛ یک خواننده نمی‌داند به سرآیند اعتماد کند یا به بخشِ R3_1.</w:t>
      </w:r>
    </w:p>
    <w:p>
      <w:pPr>
        <w:pStyle w:val="Compact"/>
        <w:numPr>
          <w:ilvl w:val="0"/>
          <w:numId w:val="1021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کم.</w:t>
      </w:r>
    </w:p>
    <w:bookmarkEnd w:id="33"/>
    <w:bookmarkStart w:id="34" w:name="Xaadb57556f70472ebee1d55a6f60649287be272"/>
    <w:p>
      <w:pPr>
        <w:pStyle w:val="Heading3"/>
        <w:bidi/>
      </w:pPr>
      <w:r>
        <w:rPr>
          <w:rtl/>
        </w:rPr>
        <w:t xml:space="preserve">۵-۵ [اولویت: متوسط] نبودِ اسکریپتِ آزمونِ پس‌رفتِ خودکار در مخزن</w:t>
      </w:r>
    </w:p>
    <w:p>
      <w:pPr>
        <w:pStyle w:val="Compact"/>
        <w:numPr>
          <w:ilvl w:val="0"/>
          <w:numId w:val="1022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REVISIONS مکرراً «رقم‌به‌رقم با R6» را ادعا می‌کند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porosity_check_R3_1.m</w:t>
      </w:r>
      <w:r>
        <w:rPr>
          <w:rtl/>
        </w:rPr>
        <w:t xml:space="preserve"> </w:t>
      </w:r>
      <w:r>
        <w:rPr>
          <w:rtl/>
        </w:rPr>
        <w:t xml:space="preserve">برای تخلخل وجود دارد، اما هیچ اسکریپتِ آزمونِ</w:t>
      </w:r>
      <w:r>
        <w:rPr>
          <w:rtl/>
        </w:rPr>
        <w:t xml:space="preserve"> </w:t>
      </w:r>
      <w:r>
        <w:rPr>
          <w:rtl/>
        </w:rPr>
        <w:t xml:space="preserve">پس‌رفتِ فراگیر (که R7 را در چند حالتِ کلیدی در برابرِ خروجیِ ذخیره‌شدهٔ مرجع</w:t>
      </w:r>
      <w:r>
        <w:rPr>
          <w:rtl/>
        </w:rPr>
        <w:t xml:space="preserve"> </w:t>
      </w:r>
      <w:r>
        <w:rPr>
          <w:rtl/>
        </w:rPr>
        <w:t xml:space="preserve">بسنجد) در فهرست دیده نمی‌شود. پیشنهاد: افزودنِ یک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run_regression.m</w:t>
      </w:r>
      <w:r>
        <w:rPr>
          <w:rtl/>
        </w:rPr>
        <w:t xml:space="preserve"> </w:t>
      </w:r>
      <w:r>
        <w:rPr>
          <w:rtl/>
        </w:rPr>
        <w:t xml:space="preserve">سبک که چند</w:t>
      </w:r>
      <w:r>
        <w:rPr>
          <w:rtl/>
        </w:rPr>
        <w:t xml:space="preserve"> </w:t>
      </w:r>
      <w:r>
        <w:rPr>
          <w:rtl/>
        </w:rPr>
        <w:t xml:space="preserve">حالتِ محک را اجرا و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.mat</w:t>
      </w:r>
      <w:r>
        <w:rPr>
          <w:rtl/>
        </w:rPr>
        <w:t xml:space="preserve">های مرجع مقایسه کند.</w:t>
      </w:r>
    </w:p>
    <w:p>
      <w:pPr>
        <w:pStyle w:val="Compact"/>
        <w:numPr>
          <w:ilvl w:val="0"/>
          <w:numId w:val="1022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چون قاعدهٔ پروژه هر تغییر را به یک بازنگریِ تازه می‌برد، یک آزمونِ</w:t>
      </w:r>
      <w:r>
        <w:rPr>
          <w:rtl/>
        </w:rPr>
        <w:t xml:space="preserve"> </w:t>
      </w:r>
      <w:r>
        <w:rPr>
          <w:rtl/>
        </w:rPr>
        <w:t xml:space="preserve">پس‌رفتِ خودکار تنها راهِ ارزانِ تضمینِ «رقم‌به‌رقم» بودن در بازنگری‌های آینده</w:t>
      </w:r>
      <w:r>
        <w:rPr>
          <w:rtl/>
        </w:rPr>
        <w:t xml:space="preserve"> </w:t>
      </w:r>
      <w:r>
        <w:rPr>
          <w:rtl/>
        </w:rPr>
        <w:t xml:space="preserve">(از جمله بندهای ۵-۲ و ۵-۳) است.</w:t>
      </w:r>
    </w:p>
    <w:p>
      <w:pPr>
        <w:pStyle w:val="Compact"/>
        <w:numPr>
          <w:ilvl w:val="0"/>
          <w:numId w:val="1022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متوسط.</w:t>
      </w:r>
    </w:p>
    <w:bookmarkEnd w:id="34"/>
    <w:bookmarkStart w:id="35" w:name="X202534de1fb7c5a230440e278f02774df15afbb"/>
    <w:p>
      <w:pPr>
        <w:pStyle w:val="Heading3"/>
        <w:bidi/>
      </w:pPr>
      <w:r>
        <w:rPr>
          <w:rtl/>
        </w:rPr>
        <w:t xml:space="preserve">۵-۶ [اولویت: کم] ذخیرهٔ پیش‌فرضِ تاریخچهٔ کامل خاموش است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store_full_history = false</w:t>
      </w:r>
      <w:r>
        <w:rPr>
          <w:rtl/>
        </w:rPr>
        <w:t xml:space="preserve"> </w:t>
      </w:r>
      <w:r>
        <w:rPr>
          <w:rtl/>
        </w:rPr>
        <w:t xml:space="preserve">پیش‌فرض است و فقط تاریخچهٔ نقطهٔ میانی +</w:t>
      </w:r>
      <w:r>
        <w:rPr>
          <w:rtl/>
        </w:rPr>
        <w:t xml:space="preserve"> </w:t>
      </w:r>
      <w:r>
        <w:rPr>
          <w:rtl/>
        </w:rPr>
        <w:t xml:space="preserve">شش عکسِ فوری ذخیره می‌شود. اما شکل‌های پیشانیِ موج (۴-۱۷، extras) به میدانِ کاملِ</w:t>
      </w:r>
      <w:r>
        <w:rPr>
          <w:rtl/>
        </w:rPr>
        <w:t xml:space="preserve"> </w:t>
      </w:r>
      <w:r>
        <w:rPr>
          <w:rtl/>
        </w:rPr>
        <w:t xml:space="preserve">زمانی نیاز دارند. پیشنهاد: مستندسازیِ صریحِ اینکه کدام شکل‌ها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store_full_history=true</w:t>
      </w:r>
      <w:r>
        <w:rPr>
          <w:rtl/>
        </w:rPr>
        <w:t xml:space="preserve"> </w:t>
      </w:r>
      <w:r>
        <w:rPr>
          <w:rtl/>
        </w:rPr>
        <w:t xml:space="preserve">نیاز دارند (در سرآیند یا CODE_DOC).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بازتولیدِ شکل‌های پیشانیِ موج بدونِ دانستنِ این پرچم ناممکن است؛ این یک</w:t>
      </w:r>
      <w:r>
        <w:rPr>
          <w:rtl/>
        </w:rPr>
        <w:t xml:space="preserve"> </w:t>
      </w:r>
      <w:r>
        <w:rPr>
          <w:rtl/>
        </w:rPr>
        <w:t xml:space="preserve">وابستگیِ پنهانِ بازتولید است.</w:t>
      </w:r>
    </w:p>
    <w:p>
      <w:pPr>
        <w:pStyle w:val="Compact"/>
        <w:numPr>
          <w:ilvl w:val="0"/>
          <w:numId w:val="1023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ارائه-نتایج-و-شکلها-فصل-۴"/>
    <w:p>
      <w:pPr>
        <w:pStyle w:val="Heading2"/>
        <w:bidi/>
      </w:pPr>
      <w:r>
        <w:rPr>
          <w:rtl/>
        </w:rPr>
        <w:t xml:space="preserve">۶. ارائهٔ نتایج و شکل‌ها (فصل ۴)</w:t>
      </w:r>
    </w:p>
    <w:bookmarkStart w:id="37" w:name="X3e2d4bc46b29f1a381900804fb28e80bebc6947"/>
    <w:p>
      <w:pPr>
        <w:pStyle w:val="Heading3"/>
        <w:bidi/>
      </w:pPr>
      <w:r>
        <w:rPr>
          <w:rtl/>
        </w:rPr>
        <w:t xml:space="preserve">۶-۱ [اولویت: متوسط] هم‌پوشانیِ نمایشِ ماتریسِ ۲۵حالته</w:t>
      </w:r>
    </w:p>
    <w:p>
      <w:pPr>
        <w:pStyle w:val="Compact"/>
        <w:numPr>
          <w:ilvl w:val="0"/>
          <w:numId w:val="1024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برهم‌کنشِ ۵×۵ گرافن×تخلخل اکنون در چند نمای موازی ارائه می‌شود: ماتریسِ</w:t>
      </w:r>
      <w:r>
        <w:rPr>
          <w:rtl/>
        </w:rPr>
        <w:t xml:space="preserve"> </w:t>
      </w:r>
      <w:r>
        <w:rPr>
          <w:rtl/>
        </w:rPr>
        <w:t xml:space="preserve">۲۵حالته (۴-۱۷)، پنج شکلِ به‌تفکیکِ تخلخل (۴-۱۹…۴-۲۳)، و شکلِ حالت‌های حدی</w:t>
      </w:r>
      <w:r>
        <w:rPr>
          <w:rtl/>
        </w:rPr>
        <w:t xml:space="preserve"> </w:t>
      </w:r>
      <w:r>
        <w:rPr>
          <w:rtl/>
        </w:rPr>
        <w:t xml:space="preserve">(۴-۲۴). پیشنهاد: بازبینیِ اینکه آیا هر سه نما لازم‌اند یا می‌توان یکی را به</w:t>
      </w:r>
      <w:r>
        <w:rPr>
          <w:rtl/>
        </w:rPr>
        <w:t xml:space="preserve"> </w:t>
      </w:r>
      <w:r>
        <w:rPr>
          <w:rtl/>
        </w:rPr>
        <w:t xml:space="preserve">پیوست برد تا جریانِ اصلیِ فصل فشرده‌تر شود.</w:t>
      </w:r>
    </w:p>
    <w:p>
      <w:pPr>
        <w:pStyle w:val="Compact"/>
        <w:numPr>
          <w:ilvl w:val="0"/>
          <w:numId w:val="1024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سه نمایشِ متفاوت از یک مجموعه‌دادهٔ واحد ممکن است تکرار به‌نظر برسد؛</w:t>
      </w:r>
      <w:r>
        <w:rPr>
          <w:rtl/>
        </w:rPr>
        <w:t xml:space="preserve"> </w:t>
      </w:r>
      <w:r>
        <w:rPr>
          <w:rtl/>
        </w:rPr>
        <w:t xml:space="preserve">گرچه هر نما زاویه‌ای دارد، بارِ شناختیِ خواننده بالا می‌رود.</w:t>
      </w:r>
    </w:p>
    <w:p>
      <w:pPr>
        <w:pStyle w:val="Compact"/>
        <w:numPr>
          <w:ilvl w:val="0"/>
          <w:numId w:val="1024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 (تصمیمِ سردبیری، بی‌نیاز از اجرای تازه).</w:t>
      </w:r>
    </w:p>
    <w:bookmarkEnd w:id="37"/>
    <w:bookmarkStart w:id="38" w:name="اولویت-کم-خانه-خالی-زمان-حل-در-جدول-۴-۳"/>
    <w:p>
      <w:pPr>
        <w:pStyle w:val="Heading3"/>
        <w:bidi/>
      </w:pPr>
      <w:r>
        <w:rPr>
          <w:rtl/>
        </w:rPr>
        <w:t xml:space="preserve">۶-۲ [اولویت: کم] خانهٔ خالیِ زمانِ حل در جدول ۴-۳</w:t>
      </w:r>
    </w:p>
    <w:p>
      <w:pPr>
        <w:pStyle w:val="Compact"/>
        <w:numPr>
          <w:ilvl w:val="0"/>
          <w:numId w:val="1025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در جدول ۴-۳ (هزینهٔ N_z) ستونِ «زمانِ حل» برای N_z=۱۱ خالی («—») است،</w:t>
      </w:r>
      <w:r>
        <w:rPr>
          <w:rtl/>
        </w:rPr>
        <w:t xml:space="preserve"> </w:t>
      </w:r>
      <w:r>
        <w:rPr>
          <w:rtl/>
        </w:rPr>
        <w:t xml:space="preserve">حال آنکه همین N_z=۱۱ شبکهٔ تولیدیِ قفل‌شده است. پیشنهاد: پُرکردنِ این خانه.</w:t>
      </w:r>
    </w:p>
    <w:p>
      <w:pPr>
        <w:pStyle w:val="Compact"/>
        <w:numPr>
          <w:ilvl w:val="0"/>
          <w:numId w:val="1025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جدولی که هزینهٔ محاسباتی را می‌فروشد نباید هزینهٔ</w:t>
      </w:r>
      <w:r>
        <w:rPr>
          <w:rtl/>
        </w:rPr>
        <w:t xml:space="preserve"> </w:t>
      </w:r>
      <w:r>
        <w:rPr>
          <w:b/>
          <w:bCs/>
          <w:rtl/>
        </w:rPr>
        <w:t xml:space="preserve">حالتِ منتخبِ خود</w:t>
      </w:r>
      <w:r>
        <w:rPr>
          <w:rtl/>
        </w:rPr>
        <w:t xml:space="preserve"> </w:t>
      </w:r>
      <w:r>
        <w:rPr>
          <w:rtl/>
        </w:rPr>
        <w:t xml:space="preserve">را جا بیندازد.</w:t>
      </w:r>
    </w:p>
    <w:p>
      <w:pPr>
        <w:pStyle w:val="Compact"/>
        <w:numPr>
          <w:ilvl w:val="0"/>
          <w:numId w:val="1025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 (یک اجرا یا استخراج از دادهٔ موجود).</w:t>
      </w:r>
    </w:p>
    <w:bookmarkEnd w:id="38"/>
    <w:bookmarkStart w:id="39" w:name="Xb2befd5bd48bbbcbd67ea521c260402940bb19d"/>
    <w:p>
      <w:pPr>
        <w:pStyle w:val="Heading3"/>
        <w:bidi/>
      </w:pPr>
      <w:r>
        <w:rPr>
          <w:rtl/>
        </w:rPr>
        <w:t xml:space="preserve">۶-۳ [اولویت: کم] یکسان‌سازیِ نمادِ زمانِ تخفیف (τ0 در برابر tau_q)</w:t>
      </w:r>
    </w:p>
    <w:p>
      <w:pPr>
        <w:pStyle w:val="Compact"/>
        <w:numPr>
          <w:ilvl w:val="0"/>
          <w:numId w:val="1026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پیوست الف و کد گاه «tau0» و گاه «زمانِ تخفیف τ_q» را به‌جای هم به‌کار</w:t>
      </w:r>
      <w:r>
        <w:rPr>
          <w:rtl/>
        </w:rPr>
        <w:t xml:space="preserve"> </w:t>
      </w:r>
      <w:r>
        <w:rPr>
          <w:rtl/>
        </w:rPr>
        <w:t xml:space="preserve">می‌برند (سرآیندِ کد: «relaxation time tau_q (s)» برای متغیرِ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tau0</w:t>
      </w:r>
      <w:r>
        <w:rPr>
          <w:rtl/>
        </w:rPr>
        <w:t xml:space="preserve">). متن فصل ۴</w:t>
      </w:r>
      <w:r>
        <w:rPr>
          <w:rtl/>
        </w:rPr>
        <w:t xml:space="preserve"> </w:t>
      </w:r>
      <w:r>
        <w:rPr>
          <w:rtl/>
        </w:rPr>
        <w:t xml:space="preserve">از τ0/τ* استفاده می‌کند. پیشنهاد: یک نمادِ یکتا در سراسرِ کد، پیوست و فصل.</w:t>
      </w:r>
    </w:p>
    <w:p>
      <w:pPr>
        <w:pStyle w:val="Compact"/>
        <w:numPr>
          <w:ilvl w:val="0"/>
          <w:numId w:val="1026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پیوست الف پیشتر برای رفعِ ابهامِ γ (نیومارک در برابر نمای پرکولاسیون)</w:t>
      </w:r>
      <w:r>
        <w:rPr>
          <w:rtl/>
        </w:rPr>
        <w:t xml:space="preserve"> </w:t>
      </w:r>
      <w:r>
        <w:rPr>
          <w:rtl/>
        </w:rPr>
        <w:t xml:space="preserve">زحمت کشیده؛ همان دقت باید برای τ نیز به‌کار رود تا داور دو نماد را یک کمیت</w:t>
      </w:r>
      <w:r>
        <w:rPr>
          <w:rtl/>
        </w:rPr>
        <w:t xml:space="preserve"> </w:t>
      </w:r>
      <w:r>
        <w:rPr>
          <w:rtl/>
        </w:rPr>
        <w:t xml:space="preserve">نبیند یا برعکس.</w:t>
      </w:r>
    </w:p>
    <w:p>
      <w:pPr>
        <w:pStyle w:val="Compact"/>
        <w:numPr>
          <w:ilvl w:val="0"/>
          <w:numId w:val="1026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کم.</w:t>
      </w:r>
    </w:p>
    <w:bookmarkEnd w:id="39"/>
    <w:bookmarkStart w:id="40" w:name="Xdf429a489dd7eccb92afe886d913e5ff800a32b"/>
    <w:p>
      <w:pPr>
        <w:pStyle w:val="Heading3"/>
        <w:bidi/>
      </w:pPr>
      <w:r>
        <w:rPr>
          <w:rtl/>
        </w:rPr>
        <w:t xml:space="preserve">۶-۴ [اولویت: کم] هماهنگیِ ادعای «نمودار در هر آزمون» با پیوست ب</w:t>
      </w:r>
    </w:p>
    <w:p>
      <w:pPr>
        <w:pStyle w:val="Compact"/>
        <w:numPr>
          <w:ilvl w:val="0"/>
          <w:numId w:val="1027"/>
        </w:numPr>
        <w:bidi/>
      </w:pPr>
      <w:r>
        <w:rPr>
          <w:b/>
          <w:bCs/>
          <w:rtl/>
        </w:rPr>
        <w:t xml:space="preserve">چه:</w:t>
      </w:r>
      <w:r>
        <w:rPr>
          <w:rtl/>
        </w:rPr>
        <w:t xml:space="preserve"> </w:t>
      </w:r>
      <w:r>
        <w:rPr>
          <w:rtl/>
        </w:rPr>
        <w:t xml:space="preserve">(پیوندخورده با ۳-۳) جملهٔ «در هر آزمون نمودار مقایسه‌ای رسم می‌شود» تا</w:t>
      </w:r>
      <w:r>
        <w:rPr>
          <w:rtl/>
        </w:rPr>
        <w:t xml:space="preserve"> </w:t>
      </w:r>
      <w:r>
        <w:rPr>
          <w:rtl/>
        </w:rPr>
        <w:t xml:space="preserve">وقتی پیوستِ صحت‌سنجیِ ب ساخته نشده، اضافه‌ادعا می‌ماند. پیشنهاد: یا ساختِ پیوست</w:t>
      </w:r>
      <w:r>
        <w:rPr>
          <w:rtl/>
        </w:rPr>
        <w:t xml:space="preserve"> </w:t>
      </w:r>
      <w:r>
        <w:rPr>
          <w:rtl/>
        </w:rPr>
        <w:t xml:space="preserve">ب، یا تعدیلِ جمله به «برای آزمون‌هایی که مرجعِ کمّی دارند».</w:t>
      </w:r>
    </w:p>
    <w:p>
      <w:pPr>
        <w:pStyle w:val="Compact"/>
        <w:numPr>
          <w:ilvl w:val="0"/>
          <w:numId w:val="1027"/>
        </w:numPr>
        <w:bidi/>
      </w:pPr>
      <w:r>
        <w:rPr>
          <w:b/>
          <w:bCs/>
          <w:rtl/>
        </w:rPr>
        <w:t xml:space="preserve">چرا:</w:t>
      </w:r>
      <w:r>
        <w:rPr>
          <w:rtl/>
        </w:rPr>
        <w:t xml:space="preserve"> </w:t>
      </w:r>
      <w:r>
        <w:rPr>
          <w:rtl/>
        </w:rPr>
        <w:t xml:space="preserve">سازگاریِ متن با شواهدِ ارائه‌شده.</w:t>
      </w:r>
    </w:p>
    <w:p>
      <w:pPr>
        <w:pStyle w:val="Compact"/>
        <w:numPr>
          <w:ilvl w:val="0"/>
          <w:numId w:val="1027"/>
        </w:numPr>
        <w:bidi/>
      </w:pPr>
      <w:r>
        <w:rPr>
          <w:b/>
          <w:bCs/>
          <w:rtl/>
        </w:rPr>
        <w:t xml:space="preserve">تلاش:</w:t>
      </w:r>
      <w:r>
        <w:rPr>
          <w:rtl/>
        </w:rPr>
        <w:t xml:space="preserve"> </w:t>
      </w:r>
      <w:r>
        <w:rPr>
          <w:rtl/>
        </w:rPr>
        <w:t xml:space="preserve">کم (اگر فقط تعدیلِ جمله) تا متوسط (اگر ساختِ پیوست ب).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جمعبندی-اولویتها"/>
    <w:p>
      <w:pPr>
        <w:pStyle w:val="Heading2"/>
        <w:bidi/>
      </w:pPr>
      <w:r>
        <w:rPr>
          <w:rtl/>
        </w:rPr>
        <w:t xml:space="preserve">جمع‌بندیِ اولویت‌ها</w:t>
      </w:r>
    </w:p>
    <w:p>
      <w:pPr>
        <w:bidi/>
      </w:pPr>
      <w:r>
        <w:rPr>
          <w:b/>
          <w:bCs/>
          <w:rtl/>
        </w:rPr>
        <w:t xml:space="preserve">اولویتِ بالا (پیش از تحویل رسیدگی شود):</w:t>
      </w:r>
      <w:r>
        <w:rPr>
          <w:rtl/>
        </w:rPr>
        <w:t xml:space="preserve"> </w:t>
      </w:r>
      <w:r>
        <w:rPr>
          <w:rtl/>
        </w:rPr>
        <w:t xml:space="preserve">- ۱-۱ خواصِ وابسته به دما؛ ۱-۲ علامت‌گذاریِ مرزِ اعتبارِ تنش؛ ۲-۱ اثباتِ عددی‌بودنِ</w:t>
      </w:r>
      <w:r>
        <w:rPr>
          <w:rtl/>
        </w:rPr>
        <w:t xml:space="preserve"> </w:t>
      </w:r>
      <w:r>
        <w:rPr>
          <w:rtl/>
        </w:rPr>
        <w:t xml:space="preserve">نوسانِ گیبس؛ ۳-۱ صحت‌سنجیِ کمّیِ موجِ صوتِ دوم؛ ۴-۱ دادهٔ نسبت‌های ابعادی در</w:t>
      </w:r>
      <w:r>
        <w:rPr>
          <w:rtl/>
        </w:rPr>
        <w:t xml:space="preserve"> </w:t>
      </w:r>
      <w:r>
        <w:rPr>
          <w:rtl/>
        </w:rPr>
        <w:t xml:space="preserve">کسر وزنیِ بالا؛ ۵-۱ هم‌ترازیِ پیش‌فرض‌های حل‌گر با حالتِ مرجع؛ ۵-۲ مونتاژِ</w:t>
      </w:r>
      <w:r>
        <w:rPr>
          <w:rtl/>
        </w:rPr>
        <w:t xml:space="preserve"> </w:t>
      </w:r>
      <w:r>
        <w:rPr>
          <w:rtl/>
        </w:rPr>
        <w:t xml:space="preserve">سه‌گانهٔ ماتریس.</w:t>
      </w:r>
    </w:p>
    <w:p>
      <w:pPr>
        <w:bidi/>
      </w:pPr>
      <w:r>
        <w:rPr>
          <w:b/>
          <w:bCs/>
          <w:rtl/>
        </w:rPr>
        <w:t xml:space="preserve">اولویتِ متوسط:</w:t>
      </w:r>
      <w:r>
        <w:rPr>
          <w:rtl/>
        </w:rPr>
        <w:t xml:space="preserve"> </w:t>
      </w:r>
      <w:r>
        <w:rPr>
          <w:rtl/>
        </w:rPr>
        <w:t xml:space="preserve">۱-۳، ۱-۴، ۲-۲، ۲-۳، ۳-۳، ۳-۴، ۴-۲، ۴-۳، ۴-۴، ۵-۳،</w:t>
      </w:r>
      <w:r>
        <w:rPr>
          <w:rtl/>
        </w:rPr>
        <w:t xml:space="preserve"> </w:t>
      </w:r>
      <w:r>
        <w:rPr>
          <w:rtl/>
        </w:rPr>
        <w:t xml:space="preserve">۵-۴، ۵-۵، ۶-۱.</w:t>
      </w:r>
    </w:p>
    <w:p>
      <w:pPr>
        <w:bidi/>
      </w:pPr>
      <w:r>
        <w:rPr>
          <w:b/>
          <w:bCs/>
          <w:rtl/>
        </w:rPr>
        <w:t xml:space="preserve">اولویتِ کم:</w:t>
      </w:r>
      <w:r>
        <w:rPr>
          <w:rtl/>
        </w:rPr>
        <w:t xml:space="preserve"> </w:t>
      </w:r>
      <w:r>
        <w:rPr>
          <w:rtl/>
        </w:rPr>
        <w:t xml:space="preserve">۱-۵، ۲-۴، ۵-۶، ۶-۲، ۶-۳، ۶-۴.</w:t>
      </w:r>
    </w:p>
    <w:p>
      <w:pPr>
        <w:bidi/>
      </w:pPr>
      <w:r>
        <w:rPr>
          <w:rtl/>
        </w:rPr>
        <w:t xml:space="preserve">کم‌هزینه‌ترین بُردهای بلندمدت (تلاشِ کم، اولویتِ بالا):</w:t>
      </w:r>
      <w:r>
        <w:rPr>
          <w:rtl/>
        </w:rPr>
        <w:t xml:space="preserve"> </w:t>
      </w:r>
      <w:r>
        <w:rPr>
          <w:b/>
          <w:bCs/>
          <w:rtl/>
        </w:rPr>
        <w:t xml:space="preserve">۲-۱</w:t>
      </w:r>
      <w:r>
        <w:rPr>
          <w:rtl/>
        </w:rPr>
        <w:t xml:space="preserve"> </w:t>
      </w:r>
      <w:r>
        <w:rPr>
          <w:rtl/>
        </w:rPr>
        <w:t xml:space="preserve">(استفادهٔ مجدد از</w:t>
      </w:r>
      <w:r>
        <w:rPr>
          <w:rtl/>
        </w:rPr>
        <w:t xml:space="preserve"> </w:t>
      </w:r>
      <w:r>
        <w:rPr>
          <w:rtl/>
        </w:rPr>
        <w:t xml:space="preserve">ابزارِ موجود)،</w:t>
      </w:r>
      <w:r>
        <w:rPr>
          <w:rtl/>
        </w:rPr>
        <w:t xml:space="preserve"> </w:t>
      </w:r>
      <w:r>
        <w:rPr>
          <w:b/>
          <w:bCs/>
          <w:rtl/>
        </w:rPr>
        <w:t xml:space="preserve">۵-۱</w:t>
      </w:r>
      <w:r>
        <w:rPr>
          <w:rtl/>
        </w:rPr>
        <w:t xml:space="preserve"> </w:t>
      </w:r>
      <w:r>
        <w:rPr>
          <w:rtl/>
        </w:rPr>
        <w:t xml:space="preserve">(به‌روزرسانیِ پیش‌فرض‌ها)، و</w:t>
      </w:r>
      <w:r>
        <w:rPr>
          <w:rtl/>
        </w:rPr>
        <w:t xml:space="preserve"> </w:t>
      </w:r>
      <w:r>
        <w:rPr>
          <w:b/>
          <w:bCs/>
          <w:rtl/>
        </w:rPr>
        <w:t xml:space="preserve">۱-۲</w:t>
      </w:r>
      <w:r>
        <w:rPr>
          <w:rtl/>
        </w:rPr>
        <w:t xml:space="preserve"> </w:t>
      </w:r>
      <w:r>
        <w:rPr>
          <w:rtl/>
        </w:rPr>
        <w:t xml:space="preserve">(یک خطِ آستانه روی</w:t>
      </w:r>
      <w:r>
        <w:rPr>
          <w:rtl/>
        </w:rPr>
        <w:t xml:space="preserve"> </w:t>
      </w:r>
      <w:r>
        <w:rPr>
          <w:rtl/>
        </w:rPr>
        <w:t xml:space="preserve">نمودارها) — هر سه بدونِ اجرای کمپینِ تازه یا نقضِ قاعدهٔ بازننوشتن انجام‌پذیرند.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2026-09-09T18:16:12Z</dcterms:created>
  <dcterms:modified xsi:type="dcterms:W3CDTF">2026-09-09T18:16:12Z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