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Heading1"/>
        <w:bidi/>
        <w:spacing w:after="120" w:line="360" w:lineRule="auto"/>
        <w:jc w:val="center"/>
      </w:pPr>
      <w:r>
        <w:rPr>
          <w:rFonts w:ascii="Times New Roman" w:hAnsi="Times New Roman" w:cs="B Nazanin"/>
          <w:b/>
          <w:bCs/>
          <w:sz w:val="32"/>
          <w:szCs w:val="36"/>
          <w:rtl/>
        </w:rPr>
        <w:t xml:space="preserve">فصل نتایج — متن فارسی</w:t>
      </w:r>
    </w:p>
    <w:p>
      <w:pPr>
        <w:pStyle w:val="Heading1"/>
        <w:bidi/>
        <w:spacing w:after="120" w:line="360" w:lineRule="auto"/>
        <w:jc w:val="right"/>
      </w:pPr>
      <w:r>
        <w:rPr>
          <w:rFonts w:ascii="Times New Roman" w:hAnsi="Times New Roman" w:cs="B Nazanin"/>
          <w:b/>
          <w:bCs/>
          <w:sz w:val="28"/>
          <w:szCs w:val="32"/>
          <w:rtl/>
        </w:rPr>
        <w:t xml:space="preserve">۴-۱ تعریف مسئلهٔ مرجع و ارائهٔ بی‌بعد</w:t>
      </w:r>
    </w:p>
    <w:p>
      <w:pPr>
        <w:bidi/>
        <w:spacing w:after="120" w:line="360" w:lineRule="auto"/>
        <w:jc w:val="both"/>
      </w:pPr>
      <w:r>
        <w:rPr>
          <w:rFonts w:ascii="Times New Roman" w:hAnsi="Times New Roman" w:cs="B Nazanin"/>
          <w:sz w:val="24"/>
          <w:szCs w:val="28"/>
          <w:rtl/>
        </w:rPr>
        <w:t xml:space="preserve">نتایج این فصل مربوط به استوانهٔ توخالی چندلایهٔ متخلخل تقویت‌شده با نانوصفحات گرافنی (GPL) است که در فصل‌های ۲ و ۳ معرفی شد؛ با شعاع داخلی R_i = 0.1 m، شعاع خارجی R_o = 0.2 m (جدار ضخیم، R_o/R_i = 2)، طول L = 0.5 m و N_L = 5 لایه. حالت مرجع (پایه) عبارت است از: توزیع یکنواخت GPL (الگوی UD) با کسر وزنی کل W_GPL = 4٪، تخلخل یکنواخت (UD) با ضریب جرمی e_m3 = 0.8980، نظریهٔ لرد–شولمن با زمان آسایش τ0 = 50 s، کوپلینگ کامل ترمومکانیکی، تکیه‌گاه سادهٔ دو انتها و بارگذاری زیر: دمای سطح داخلی به‌صورت رمپ هموار از 300 K به 600 K افزایش می‌یابد (ثابت زمانی t0 = 0.5 s) و هم‌زمان فشار داخلی P_i = 1 MPa اعمال می‌شود؛ سطح خارجی با محیط 300 K تبادل همرفتی دارد (h_c = 10 W/m²K). شبکهٔ حل شامل N_r = 9 نقطه در هر لایه و N_z = 11 نقطهٔ محوری است و گام زمانی Δt = 0.1 s تا زمان نهایی t_end = 100 s. پارامترهای نیومارک δ = 1/2 و β = 1/4 (بدون میرایی عددی) انتخاب شده‌اند؛ نوسان‌های کوچکِ پشت جبهه‌های تیز موج، اثر شناخته‌شدهٔ گیبس در گسسته‌سازی طیفی است و به‌عمد فیلتر نشده است.</w:t>
      </w:r>
    </w:p>
    <w:p>
      <w:pPr>
        <w:bidi/>
        <w:spacing w:after="120" w:line="360" w:lineRule="auto"/>
        <w:jc w:val="both"/>
      </w:pPr>
      <w:r>
        <w:rPr>
          <w:rFonts w:ascii="Times New Roman" w:hAnsi="Times New Roman" w:cs="B Nazanin"/>
          <w:sz w:val="24"/>
          <w:szCs w:val="28"/>
          <w:rtl/>
        </w:rPr>
        <w:t xml:space="preserve">همهٔ نتایج به‌صورت بی‌بعد گزارش می‌شوند (جدول ۴-۱). نفوذ حرارتی مرجع ᾱ = k̄/(ρ̄c̄) = 3.50×10⁻⁴ m²/s متعلق به مادهٔ همگن‌سازی‌شدهٔ پایه است.</w:t>
      </w:r>
    </w:p>
    <w:p>
      <w:pPr>
        <w:bidi/>
        <w:spacing w:after="120" w:line="360" w:lineRule="auto"/>
        <w:jc w:val="both"/>
      </w:pPr>
      <w:r>
        <w:rPr>
          <w:rFonts w:ascii="Times New Roman" w:hAnsi="Times New Roman" w:cs="B Nazanin"/>
          <w:b/>
          <w:bCs/>
          <w:sz w:val="24"/>
          <w:szCs w:val="28"/>
          <w:rtl/>
        </w:rPr>
        <w:t xml:space="preserve">جدول ۴-۱ — کمیت‌های بی‌بعد این فصل.</w:t>
      </w:r>
    </w:p>
    <w:tbl>
      <w:tblPr>
        <w:bidiVisual/>
        <w:tblW w:w="0" w:type="auto"/>
        <w:jc w:val="center"/>
        <w:tblBorders>
          <w:top w:val="single" w:sz="6" w:color="000000"/>
          <w:left w:val="single" w:sz="6" w:color="000000"/>
          <w:bottom w:val="single" w:sz="6" w:color="000000"/>
          <w:right w:val="single" w:sz="6" w:color="000000"/>
          <w:insideH w:val="single" w:sz="4" w:color="808080"/>
          <w:insideV w:val="single" w:sz="4" w:color="808080"/>
        </w:tblBorders>
        <w:tblCellMar>
          <w:left w:w="85" w:type="dxa"/>
          <w:right w:w="85" w:type="dxa"/>
        </w:tblCellMar>
      </w:tblPr>
      <w:tr>
        <w:tc>
          <w:tcPr>
            <w:tcW w:w="0" w:type="auto"/>
            <w:vAlign w:val="center"/>
          </w:tcPr>
          <w:p>
            <w:pPr>
              <w:bidi/>
              <w:spacing w:after="120" w:line="360" w:lineRule="auto"/>
              <w:jc w:val="center"/>
            </w:pPr>
            <w:r>
              <w:rPr>
                <w:rFonts w:ascii="Times New Roman" w:hAnsi="Times New Roman" w:cs="B Nazanin"/>
                <w:b/>
                <w:bCs/>
                <w:sz w:val="20"/>
                <w:szCs w:val="24"/>
                <w:rtl/>
              </w:rPr>
              <w:t xml:space="preserve">کمیت</w:t>
            </w:r>
          </w:p>
        </w:tc>
        <w:tc>
          <w:tcPr>
            <w:tcW w:w="0" w:type="auto"/>
            <w:vAlign w:val="center"/>
          </w:tcPr>
          <w:p>
            <w:pPr>
              <w:bidi/>
              <w:spacing w:after="120" w:line="360" w:lineRule="auto"/>
              <w:jc w:val="center"/>
            </w:pPr>
            <w:r>
              <w:rPr>
                <w:rFonts w:ascii="Times New Roman" w:hAnsi="Times New Roman" w:cs="B Nazanin"/>
                <w:b/>
                <w:bCs/>
                <w:sz w:val="20"/>
                <w:szCs w:val="24"/>
                <w:rtl/>
              </w:rPr>
              <w:t xml:space="preserve">تعریف</w:t>
            </w:r>
          </w:p>
        </w:tc>
        <w:tc>
          <w:tcPr>
            <w:tcW w:w="0" w:type="auto"/>
            <w:vAlign w:val="center"/>
          </w:tcPr>
          <w:p>
            <w:pPr>
              <w:bidi/>
              <w:spacing w:after="120" w:line="360" w:lineRule="auto"/>
              <w:jc w:val="center"/>
            </w:pPr>
            <w:r>
              <w:rPr>
                <w:rFonts w:ascii="Times New Roman" w:hAnsi="Times New Roman" w:cs="B Nazanin"/>
                <w:b/>
                <w:bCs/>
                <w:sz w:val="20"/>
                <w:szCs w:val="24"/>
                <w:rtl/>
              </w:rPr>
              <w:t xml:space="preserve">مقدار/بازه</w:t>
            </w:r>
          </w:p>
        </w:tc>
      </w:tr>
      <w:tr>
        <w:tc>
          <w:tcPr>
            <w:tcW w:w="0" w:type="auto"/>
            <w:vAlign w:val="center"/>
          </w:tcPr>
          <w:p>
            <w:pPr>
              <w:bidi/>
              <w:spacing w:after="120" w:line="360" w:lineRule="auto"/>
              <w:jc w:val="center"/>
            </w:pPr>
            <w:r>
              <w:rPr>
                <w:rFonts w:ascii="Times New Roman" w:hAnsi="Times New Roman" w:cs="B Nazanin"/>
                <w:sz w:val="20"/>
                <w:szCs w:val="24"/>
                <w:rtl/>
              </w:rPr>
              <w:t xml:space="preserve">عدد فوریه (زمان)</w:t>
            </w:r>
          </w:p>
        </w:tc>
        <w:tc>
          <w:tcPr>
            <w:tcW w:w="0" w:type="auto"/>
            <w:vAlign w:val="center"/>
          </w:tcPr>
          <w:p>
            <w:pPr>
              <w:bidi/>
              <w:spacing w:after="120" w:line="360" w:lineRule="auto"/>
              <w:jc w:val="center"/>
            </w:pPr>
            <w:r>
              <w:rPr>
                <w:rFonts w:ascii="Times New Roman" w:hAnsi="Times New Roman" w:cs="B Nazanin"/>
                <w:sz w:val="20"/>
                <w:szCs w:val="24"/>
              </w:rPr>
              <w:t xml:space="preserve">Fo = ᾱ t / R_o²</w:t>
            </w:r>
          </w:p>
        </w:tc>
        <w:tc>
          <w:tcPr>
            <w:tcW w:w="0" w:type="auto"/>
            <w:vAlign w:val="center"/>
          </w:tcPr>
          <w:p>
            <w:pPr>
              <w:bidi/>
              <w:spacing w:after="120" w:line="360" w:lineRule="auto"/>
              <w:jc w:val="center"/>
            </w:pPr>
            <w:r>
              <w:rPr>
                <w:rFonts w:ascii="Times New Roman" w:hAnsi="Times New Roman" w:cs="B Nazanin"/>
                <w:sz w:val="20"/>
                <w:szCs w:val="24"/>
              </w:rPr>
              <w:t xml:space="preserve">Fo(100 s) = 0.875</w:t>
            </w:r>
          </w:p>
        </w:tc>
      </w:tr>
      <w:tr>
        <w:tc>
          <w:tcPr>
            <w:tcW w:w="0" w:type="auto"/>
            <w:vAlign w:val="center"/>
          </w:tcPr>
          <w:p>
            <w:pPr>
              <w:bidi/>
              <w:spacing w:after="120" w:line="360" w:lineRule="auto"/>
              <w:jc w:val="center"/>
            </w:pPr>
            <w:r>
              <w:rPr>
                <w:rFonts w:ascii="Times New Roman" w:hAnsi="Times New Roman" w:cs="B Nazanin"/>
                <w:sz w:val="20"/>
                <w:szCs w:val="24"/>
                <w:rtl/>
              </w:rPr>
              <w:t xml:space="preserve">زمان آسایش بی‌بعد</w:t>
            </w:r>
          </w:p>
        </w:tc>
        <w:tc>
          <w:tcPr>
            <w:tcW w:w="0" w:type="auto"/>
            <w:vAlign w:val="center"/>
          </w:tcPr>
          <w:p>
            <w:pPr>
              <w:bidi/>
              <w:spacing w:after="120" w:line="360" w:lineRule="auto"/>
              <w:jc w:val="center"/>
            </w:pPr>
            <w:r>
              <w:rPr>
                <w:rFonts w:ascii="Times New Roman" w:hAnsi="Times New Roman" w:cs="B Nazanin"/>
                <w:sz w:val="20"/>
                <w:szCs w:val="24"/>
              </w:rPr>
              <w:t xml:space="preserve">τ* = ᾱ τ0 / R_o²</w:t>
            </w:r>
          </w:p>
        </w:tc>
        <w:tc>
          <w:tcPr>
            <w:tcW w:w="0" w:type="auto"/>
            <w:vAlign w:val="center"/>
          </w:tcPr>
          <w:p>
            <w:pPr>
              <w:bidi/>
              <w:spacing w:after="120" w:line="360" w:lineRule="auto"/>
              <w:jc w:val="center"/>
            </w:pPr>
            <w:r>
              <w:rPr>
                <w:rFonts w:ascii="Times New Roman" w:hAnsi="Times New Roman" w:cs="B Nazanin"/>
                <w:sz w:val="20"/>
                <w:szCs w:val="24"/>
                <w:rtl/>
              </w:rPr>
              <w:t xml:space="preserve">0.44 (پایه)</w:t>
            </w:r>
          </w:p>
        </w:tc>
      </w:tr>
      <w:tr>
        <w:tc>
          <w:tcPr>
            <w:tcW w:w="0" w:type="auto"/>
            <w:vAlign w:val="center"/>
          </w:tcPr>
          <w:p>
            <w:pPr>
              <w:bidi/>
              <w:spacing w:after="120" w:line="360" w:lineRule="auto"/>
              <w:jc w:val="center"/>
            </w:pPr>
            <w:r>
              <w:rPr>
                <w:rFonts w:ascii="Times New Roman" w:hAnsi="Times New Roman" w:cs="B Nazanin"/>
                <w:sz w:val="20"/>
                <w:szCs w:val="24"/>
                <w:rtl/>
              </w:rPr>
              <w:t xml:space="preserve">دما</w:t>
            </w:r>
          </w:p>
        </w:tc>
        <w:tc>
          <w:tcPr>
            <w:tcW w:w="0" w:type="auto"/>
            <w:vAlign w:val="center"/>
          </w:tcPr>
          <w:p>
            <w:pPr>
              <w:bidi/>
              <w:spacing w:after="120" w:line="360" w:lineRule="auto"/>
              <w:jc w:val="center"/>
            </w:pPr>
            <w:r>
              <w:rPr>
                <w:rFonts w:ascii="Times New Roman" w:hAnsi="Times New Roman" w:cs="B Nazanin"/>
                <w:sz w:val="20"/>
                <w:szCs w:val="24"/>
              </w:rPr>
              <w:t xml:space="preserve">T* = (T − T∞)/(T_in − T∞)</w:t>
            </w:r>
          </w:p>
        </w:tc>
        <w:tc>
          <w:tcPr>
            <w:tcW w:w="0" w:type="auto"/>
            <w:vAlign w:val="center"/>
          </w:tcPr>
          <w:p>
            <w:pPr>
              <w:bidi/>
              <w:spacing w:after="120" w:line="360" w:lineRule="auto"/>
              <w:jc w:val="center"/>
            </w:pPr>
            <w:r>
              <w:rPr>
                <w:rFonts w:ascii="Times New Roman" w:hAnsi="Times New Roman" w:cs="B Nazanin"/>
                <w:sz w:val="20"/>
                <w:szCs w:val="24"/>
                <w:rtl/>
              </w:rPr>
              <w:t xml:space="preserve">0 تا ≈1.4</w:t>
            </w:r>
          </w:p>
        </w:tc>
      </w:tr>
      <w:tr>
        <w:tc>
          <w:tcPr>
            <w:tcW w:w="0" w:type="auto"/>
            <w:vAlign w:val="center"/>
          </w:tcPr>
          <w:p>
            <w:pPr>
              <w:bidi/>
              <w:spacing w:after="120" w:line="360" w:lineRule="auto"/>
              <w:jc w:val="center"/>
            </w:pPr>
            <w:r>
              <w:rPr>
                <w:rFonts w:ascii="Times New Roman" w:hAnsi="Times New Roman" w:cs="B Nazanin"/>
                <w:sz w:val="20"/>
                <w:szCs w:val="24"/>
                <w:rtl/>
              </w:rPr>
              <w:t xml:space="preserve">مختصهٔ شعاعی</w:t>
            </w:r>
          </w:p>
        </w:tc>
        <w:tc>
          <w:tcPr>
            <w:tcW w:w="0" w:type="auto"/>
            <w:vAlign w:val="center"/>
          </w:tcPr>
          <w:p>
            <w:pPr>
              <w:bidi/>
              <w:spacing w:after="120" w:line="360" w:lineRule="auto"/>
              <w:jc w:val="center"/>
            </w:pPr>
            <w:r>
              <w:rPr>
                <w:rFonts w:ascii="Times New Roman" w:hAnsi="Times New Roman" w:cs="B Nazanin"/>
                <w:sz w:val="20"/>
                <w:szCs w:val="24"/>
              </w:rPr>
              <w:t xml:space="preserve">ξ = (r − R_i)/(R_o − R_i)</w:t>
            </w:r>
          </w:p>
        </w:tc>
        <w:tc>
          <w:tcPr>
            <w:tcW w:w="0" w:type="auto"/>
            <w:vAlign w:val="center"/>
          </w:tcPr>
          <w:p>
            <w:pPr>
              <w:bidi/>
              <w:spacing w:after="120" w:line="360" w:lineRule="auto"/>
              <w:jc w:val="center"/>
            </w:pPr>
            <w:r>
              <w:rPr>
                <w:rFonts w:ascii="Times New Roman" w:hAnsi="Times New Roman" w:cs="B Nazanin"/>
                <w:sz w:val="20"/>
                <w:szCs w:val="24"/>
              </w:rPr>
              <w:t xml:space="preserve">0 … 1</w:t>
            </w:r>
          </w:p>
        </w:tc>
      </w:tr>
      <w:tr>
        <w:tc>
          <w:tcPr>
            <w:tcW w:w="0" w:type="auto"/>
            <w:vAlign w:val="center"/>
          </w:tcPr>
          <w:p>
            <w:pPr>
              <w:bidi/>
              <w:spacing w:after="120" w:line="360" w:lineRule="auto"/>
              <w:jc w:val="center"/>
            </w:pPr>
            <w:r>
              <w:rPr>
                <w:rFonts w:ascii="Times New Roman" w:hAnsi="Times New Roman" w:cs="B Nazanin"/>
                <w:sz w:val="20"/>
                <w:szCs w:val="24"/>
                <w:rtl/>
              </w:rPr>
              <w:t xml:space="preserve">جابه‌جایی شعاعی</w:t>
            </w:r>
          </w:p>
        </w:tc>
        <w:tc>
          <w:tcPr>
            <w:tcW w:w="0" w:type="auto"/>
            <w:vAlign w:val="center"/>
          </w:tcPr>
          <w:p>
            <w:pPr>
              <w:bidi/>
              <w:spacing w:after="120" w:line="360" w:lineRule="auto"/>
              <w:jc w:val="center"/>
            </w:pPr>
            <w:r>
              <w:rPr>
                <w:rFonts w:ascii="Times New Roman" w:hAnsi="Times New Roman" w:cs="B Nazanin"/>
                <w:sz w:val="20"/>
                <w:szCs w:val="24"/>
              </w:rPr>
              <w:t xml:space="preserve">u* = u(λ̄+2μ̄)/(β̄ ΔT h)</w:t>
            </w:r>
          </w:p>
        </w:tc>
        <w:tc>
          <w:tcPr>
            <w:tcW w:w="0" w:type="auto"/>
            <w:vAlign w:val="center"/>
          </w:tcPr>
          <w:p>
            <w:pPr>
              <w:bidi/>
              <w:spacing w:after="120" w:line="360" w:lineRule="auto"/>
              <w:jc w:val="center"/>
            </w:pPr>
            <w:r>
              <w:rPr>
                <w:rFonts w:ascii="Times New Roman" w:hAnsi="Times New Roman" w:cs="B Nazanin"/>
                <w:sz w:val="20"/>
                <w:szCs w:val="24"/>
                <w:rtl/>
              </w:rPr>
              <w:t xml:space="preserve">مرتبهٔ 1</w:t>
            </w:r>
          </w:p>
        </w:tc>
      </w:tr>
      <w:tr>
        <w:tc>
          <w:tcPr>
            <w:tcW w:w="0" w:type="auto"/>
            <w:vAlign w:val="center"/>
          </w:tcPr>
          <w:p>
            <w:pPr>
              <w:bidi/>
              <w:spacing w:after="120" w:line="360" w:lineRule="auto"/>
              <w:jc w:val="center"/>
            </w:pPr>
            <w:r>
              <w:rPr>
                <w:rFonts w:ascii="Times New Roman" w:hAnsi="Times New Roman" w:cs="B Nazanin"/>
                <w:sz w:val="20"/>
                <w:szCs w:val="24"/>
                <w:rtl/>
              </w:rPr>
              <w:t xml:space="preserve">تنش</w:t>
            </w:r>
          </w:p>
        </w:tc>
        <w:tc>
          <w:tcPr>
            <w:tcW w:w="0" w:type="auto"/>
            <w:vAlign w:val="center"/>
          </w:tcPr>
          <w:p>
            <w:pPr>
              <w:bidi/>
              <w:spacing w:after="120" w:line="360" w:lineRule="auto"/>
              <w:jc w:val="center"/>
            </w:pPr>
            <w:r>
              <w:rPr>
                <w:rFonts w:ascii="Times New Roman" w:hAnsi="Times New Roman" w:cs="B Nazanin"/>
                <w:sz w:val="20"/>
                <w:szCs w:val="24"/>
              </w:rPr>
              <w:t xml:space="preserve">σ* = σ/(β̄ ΔT)</w:t>
            </w:r>
          </w:p>
        </w:tc>
        <w:tc>
          <w:tcPr>
            <w:tcW w:w="0" w:type="auto"/>
            <w:vAlign w:val="center"/>
          </w:tcPr>
          <w:p>
            <w:pPr>
              <w:bidi/>
              <w:spacing w:after="120" w:line="360" w:lineRule="auto"/>
              <w:jc w:val="center"/>
            </w:pPr>
            <w:r>
              <w:rPr>
                <w:rFonts w:ascii="Times New Roman" w:hAnsi="Times New Roman" w:cs="B Nazanin"/>
                <w:sz w:val="20"/>
                <w:szCs w:val="24"/>
                <w:rtl/>
              </w:rPr>
              <w:t xml:space="preserve">مرتبهٔ 0.1</w:t>
            </w:r>
          </w:p>
        </w:tc>
      </w:tr>
    </w:tbl>
    <w:p>
      <w:pPr>
        <w:bidi/>
        <w:spacing w:after="120" w:line="360" w:lineRule="auto"/>
        <w:jc w:val="both"/>
      </w:pPr>
    </w:p>
    <w:p>
      <w:pPr>
        <w:bidi/>
        <w:spacing w:after="120" w:line="360" w:lineRule="auto"/>
        <w:jc w:val="both"/>
      </w:pPr>
      <w:r>
        <w:rPr>
          <w:rFonts w:ascii="Times New Roman" w:hAnsi="Times New Roman" w:cs="B Nazanin"/>
          <w:sz w:val="24"/>
          <w:szCs w:val="28"/>
          <w:rtl/>
        </w:rPr>
        <w:t xml:space="preserve">سرعت موج حرارتی لرد–شولمن برای مادهٔ پایه v = √(ᾱ/τ0) = 2.65×10⁻³ m/s است؛ پیمودن نصف ضخامت جدار حدود 19 s (Fo ≈ 0.17) طول می‌کشد که دقیقاً محل نخستین رسیدن موج در تاریخچه‌های زیر است.</w:t>
      </w:r>
    </w:p>
    <w:p>
      <w:pPr>
        <w:pStyle w:val="Heading1"/>
        <w:bidi/>
        <w:spacing w:after="120" w:line="360" w:lineRule="auto"/>
        <w:jc w:val="right"/>
      </w:pPr>
      <w:r>
        <w:rPr>
          <w:rFonts w:ascii="Times New Roman" w:hAnsi="Times New Roman" w:cs="B Nazanin"/>
          <w:b/>
          <w:bCs/>
          <w:sz w:val="28"/>
          <w:szCs w:val="32"/>
          <w:rtl/>
        </w:rPr>
        <w:t xml:space="preserve">۴-۲ صحت‌سنجی</w:t>
      </w:r>
    </w:p>
    <w:p>
      <w:pPr>
        <w:bidi/>
        <w:spacing w:after="120" w:line="360" w:lineRule="auto"/>
        <w:jc w:val="both"/>
      </w:pPr>
      <w:r>
        <w:rPr>
          <w:rFonts w:ascii="Times New Roman" w:hAnsi="Times New Roman" w:cs="B Nazanin"/>
          <w:sz w:val="24"/>
          <w:szCs w:val="28"/>
          <w:rtl/>
        </w:rPr>
        <w:t xml:space="preserve">شش آزمون مستقل درستی حل‌گر را پشتیبانی می‌کند (جزئیات و شکل‌ها در بخش/پیوست صحت‌سنجی):</w:t>
      </w:r>
    </w:p>
    <w:p>
      <w:pPr>
        <w:bidi/>
        <w:spacing w:after="120" w:line="360" w:lineRule="auto"/>
        <w:jc w:val="both"/>
      </w:pPr>
      <w:r>
        <w:rPr>
          <w:rFonts w:ascii="Times New Roman" w:hAnsi="Times New Roman" w:cs="B Nazanin"/>
          <w:b/>
          <w:bCs/>
          <w:sz w:val="24"/>
          <w:szCs w:val="28"/>
          <w:rtl/>
        </w:rPr>
        <w:t xml:space="preserve">جدول ۴-۲ — خلاصهٔ صحت‌سنجی.</w:t>
      </w:r>
    </w:p>
    <w:tbl>
      <w:tblPr>
        <w:bidiVisual/>
        <w:tblW w:w="0" w:type="auto"/>
        <w:jc w:val="center"/>
        <w:tblBorders>
          <w:top w:val="single" w:sz="6" w:color="000000"/>
          <w:left w:val="single" w:sz="6" w:color="000000"/>
          <w:bottom w:val="single" w:sz="6" w:color="000000"/>
          <w:right w:val="single" w:sz="6" w:color="000000"/>
          <w:insideH w:val="single" w:sz="4" w:color="808080"/>
          <w:insideV w:val="single" w:sz="4" w:color="808080"/>
        </w:tblBorders>
        <w:tblCellMar>
          <w:left w:w="85" w:type="dxa"/>
          <w:right w:w="85" w:type="dxa"/>
        </w:tblCellMar>
      </w:tblPr>
      <w:tr>
        <w:tc>
          <w:tcPr>
            <w:tcW w:w="0" w:type="auto"/>
            <w:vAlign w:val="center"/>
          </w:tcPr>
          <w:p>
            <w:pPr>
              <w:bidi/>
              <w:spacing w:after="120" w:line="360" w:lineRule="auto"/>
              <w:jc w:val="center"/>
            </w:pPr>
            <w:r>
              <w:rPr>
                <w:rFonts w:ascii="Times New Roman" w:hAnsi="Times New Roman" w:cs="B Nazanin"/>
                <w:b/>
                <w:bCs/>
                <w:sz w:val="20"/>
                <w:szCs w:val="24"/>
              </w:rPr>
              <w:t xml:space="preserve">#</w:t>
            </w:r>
          </w:p>
        </w:tc>
        <w:tc>
          <w:tcPr>
            <w:tcW w:w="0" w:type="auto"/>
            <w:vAlign w:val="center"/>
          </w:tcPr>
          <w:p>
            <w:pPr>
              <w:bidi/>
              <w:spacing w:after="120" w:line="360" w:lineRule="auto"/>
              <w:jc w:val="center"/>
            </w:pPr>
            <w:r>
              <w:rPr>
                <w:rFonts w:ascii="Times New Roman" w:hAnsi="Times New Roman" w:cs="B Nazanin"/>
                <w:b/>
                <w:bCs/>
                <w:sz w:val="20"/>
                <w:szCs w:val="24"/>
                <w:rtl/>
              </w:rPr>
              <w:t xml:space="preserve">آزمون</w:t>
            </w:r>
          </w:p>
        </w:tc>
        <w:tc>
          <w:tcPr>
            <w:tcW w:w="0" w:type="auto"/>
            <w:vAlign w:val="center"/>
          </w:tcPr>
          <w:p>
            <w:pPr>
              <w:bidi/>
              <w:spacing w:after="120" w:line="360" w:lineRule="auto"/>
              <w:jc w:val="center"/>
            </w:pPr>
            <w:r>
              <w:rPr>
                <w:rFonts w:ascii="Times New Roman" w:hAnsi="Times New Roman" w:cs="B Nazanin"/>
                <w:b/>
                <w:bCs/>
                <w:sz w:val="20"/>
                <w:szCs w:val="24"/>
                <w:rtl/>
              </w:rPr>
              <w:t xml:space="preserve">مرجع</w:t>
            </w:r>
          </w:p>
        </w:tc>
        <w:tc>
          <w:tcPr>
            <w:tcW w:w="0" w:type="auto"/>
            <w:vAlign w:val="center"/>
          </w:tcPr>
          <w:p>
            <w:pPr>
              <w:bidi/>
              <w:spacing w:after="120" w:line="360" w:lineRule="auto"/>
              <w:jc w:val="center"/>
            </w:pPr>
            <w:r>
              <w:rPr>
                <w:rFonts w:ascii="Times New Roman" w:hAnsi="Times New Roman" w:cs="B Nazanin"/>
                <w:b/>
                <w:bCs/>
                <w:sz w:val="20"/>
                <w:szCs w:val="24"/>
                <w:rtl/>
              </w:rPr>
              <w:t xml:space="preserve">نتیجه</w:t>
            </w:r>
          </w:p>
        </w:tc>
      </w:tr>
      <w:tr>
        <w:tc>
          <w:tcPr>
            <w:tcW w:w="0" w:type="auto"/>
            <w:vAlign w:val="center"/>
          </w:tcPr>
          <w:p>
            <w:pPr>
              <w:bidi/>
              <w:spacing w:after="120" w:line="360" w:lineRule="auto"/>
              <w:jc w:val="center"/>
            </w:pPr>
            <w:r>
              <w:rPr>
                <w:rFonts w:ascii="Times New Roman" w:hAnsi="Times New Roman" w:cs="B Nazanin"/>
                <w:sz w:val="20"/>
                <w:szCs w:val="24"/>
              </w:rPr>
              <w:t xml:space="preserve">1</w:t>
            </w:r>
          </w:p>
        </w:tc>
        <w:tc>
          <w:tcPr>
            <w:tcW w:w="0" w:type="auto"/>
            <w:vAlign w:val="center"/>
          </w:tcPr>
          <w:p>
            <w:pPr>
              <w:bidi/>
              <w:spacing w:after="120" w:line="360" w:lineRule="auto"/>
              <w:jc w:val="center"/>
            </w:pPr>
            <w:r>
              <w:rPr>
                <w:rFonts w:ascii="Times New Roman" w:hAnsi="Times New Roman" w:cs="B Nazanin"/>
                <w:sz w:val="20"/>
                <w:szCs w:val="24"/>
                <w:rtl/>
              </w:rPr>
              <w:t xml:space="preserve">مونتاژ فضایی استاتیکی</w:t>
            </w:r>
          </w:p>
        </w:tc>
        <w:tc>
          <w:tcPr>
            <w:tcW w:w="0" w:type="auto"/>
            <w:vAlign w:val="center"/>
          </w:tcPr>
          <w:p>
            <w:pPr>
              <w:bidi/>
              <w:spacing w:after="120" w:line="360" w:lineRule="auto"/>
              <w:jc w:val="center"/>
            </w:pPr>
            <w:r>
              <w:rPr>
                <w:rFonts w:ascii="Times New Roman" w:hAnsi="Times New Roman" w:cs="B Nazanin"/>
                <w:sz w:val="20"/>
                <w:szCs w:val="24"/>
                <w:rtl/>
              </w:rPr>
              <w:t xml:space="preserve">حل‌گر استاتیکی مستقل</w:t>
            </w:r>
          </w:p>
        </w:tc>
        <w:tc>
          <w:tcPr>
            <w:tcW w:w="0" w:type="auto"/>
            <w:vAlign w:val="center"/>
          </w:tcPr>
          <w:p>
            <w:pPr>
              <w:bidi/>
              <w:spacing w:after="120" w:line="360" w:lineRule="auto"/>
              <w:jc w:val="center"/>
            </w:pPr>
            <w:r>
              <w:rPr>
                <w:rFonts w:ascii="Times New Roman" w:hAnsi="Times New Roman" w:cs="B Nazanin"/>
                <w:sz w:val="20"/>
                <w:szCs w:val="24"/>
                <w:rtl/>
              </w:rPr>
              <w:t xml:space="preserve">توافق تا 2×10⁻¹¹</w:t>
            </w:r>
          </w:p>
        </w:tc>
      </w:tr>
      <w:tr>
        <w:tc>
          <w:tcPr>
            <w:tcW w:w="0" w:type="auto"/>
            <w:vAlign w:val="center"/>
          </w:tcPr>
          <w:p>
            <w:pPr>
              <w:bidi/>
              <w:spacing w:after="120" w:line="360" w:lineRule="auto"/>
              <w:jc w:val="center"/>
            </w:pPr>
            <w:r>
              <w:rPr>
                <w:rFonts w:ascii="Times New Roman" w:hAnsi="Times New Roman" w:cs="B Nazanin"/>
                <w:sz w:val="20"/>
                <w:szCs w:val="24"/>
              </w:rPr>
              <w:t xml:space="preserve">2</w:t>
            </w:r>
          </w:p>
        </w:tc>
        <w:tc>
          <w:tcPr>
            <w:tcW w:w="0" w:type="auto"/>
            <w:vAlign w:val="center"/>
          </w:tcPr>
          <w:p>
            <w:pPr>
              <w:bidi/>
              <w:spacing w:after="120" w:line="360" w:lineRule="auto"/>
              <w:jc w:val="center"/>
            </w:pPr>
            <w:r>
              <w:rPr>
                <w:rFonts w:ascii="Times New Roman" w:hAnsi="Times New Roman" w:cs="B Nazanin"/>
                <w:sz w:val="20"/>
                <w:szCs w:val="24"/>
                <w:rtl/>
              </w:rPr>
              <w:t xml:space="preserve">مکانیک دینامیکی</w:t>
            </w:r>
          </w:p>
        </w:tc>
        <w:tc>
          <w:tcPr>
            <w:tcW w:w="0" w:type="auto"/>
            <w:vAlign w:val="center"/>
          </w:tcPr>
          <w:p>
            <w:pPr>
              <w:bidi/>
              <w:spacing w:after="120" w:line="360" w:lineRule="auto"/>
              <w:jc w:val="center"/>
            </w:pPr>
            <w:r>
              <w:rPr>
                <w:rFonts w:ascii="Times New Roman" w:hAnsi="Times New Roman" w:cs="B Nazanin"/>
                <w:sz w:val="20"/>
                <w:szCs w:val="24"/>
                <w:rtl/>
              </w:rPr>
              <w:t xml:space="preserve">ملک‌زاده و حیدرپور، IJPVP 98 (2012)، جدول 6 + ANSYS</w:t>
            </w:r>
          </w:p>
        </w:tc>
        <w:tc>
          <w:tcPr>
            <w:tcW w:w="0" w:type="auto"/>
            <w:vAlign w:val="center"/>
          </w:tcPr>
          <w:p>
            <w:pPr>
              <w:bidi/>
              <w:spacing w:after="120" w:line="360" w:lineRule="auto"/>
              <w:jc w:val="center"/>
            </w:pPr>
            <w:r>
              <w:rPr>
                <w:rFonts w:ascii="Times New Roman" w:hAnsi="Times New Roman" w:cs="B Nazanin"/>
                <w:sz w:val="20"/>
                <w:szCs w:val="24"/>
                <w:rtl/>
              </w:rPr>
              <w:t xml:space="preserve">U* در حد 0.1 تا 0.2٪؛ σ_rr = −1.000 دقیق</w:t>
            </w:r>
          </w:p>
        </w:tc>
      </w:tr>
      <w:tr>
        <w:tc>
          <w:tcPr>
            <w:tcW w:w="0" w:type="auto"/>
            <w:vAlign w:val="center"/>
          </w:tcPr>
          <w:p>
            <w:pPr>
              <w:bidi/>
              <w:spacing w:after="120" w:line="360" w:lineRule="auto"/>
              <w:jc w:val="center"/>
            </w:pPr>
            <w:r>
              <w:rPr>
                <w:rFonts w:ascii="Times New Roman" w:hAnsi="Times New Roman" w:cs="B Nazanin"/>
                <w:sz w:val="20"/>
                <w:szCs w:val="24"/>
              </w:rPr>
              <w:t xml:space="preserve">3</w:t>
            </w:r>
          </w:p>
        </w:tc>
        <w:tc>
          <w:tcPr>
            <w:tcW w:w="0" w:type="auto"/>
            <w:vAlign w:val="center"/>
          </w:tcPr>
          <w:p>
            <w:pPr>
              <w:bidi/>
              <w:spacing w:after="120" w:line="360" w:lineRule="auto"/>
              <w:jc w:val="center"/>
            </w:pPr>
            <w:r>
              <w:rPr>
                <w:rFonts w:ascii="Times New Roman" w:hAnsi="Times New Roman" w:cs="B Nazanin"/>
                <w:sz w:val="20"/>
                <w:szCs w:val="24"/>
                <w:rtl/>
              </w:rPr>
              <w:t xml:space="preserve">هدایت گذرا</w:t>
            </w:r>
          </w:p>
        </w:tc>
        <w:tc>
          <w:tcPr>
            <w:tcW w:w="0" w:type="auto"/>
            <w:vAlign w:val="center"/>
          </w:tcPr>
          <w:p>
            <w:pPr>
              <w:bidi/>
              <w:spacing w:after="120" w:line="360" w:lineRule="auto"/>
              <w:jc w:val="center"/>
            </w:pPr>
            <w:r>
              <w:rPr>
                <w:rFonts w:ascii="Times New Roman" w:hAnsi="Times New Roman" w:cs="B Nazanin"/>
                <w:sz w:val="20"/>
                <w:szCs w:val="24"/>
                <w:rtl/>
              </w:rPr>
              <w:t xml:space="preserve">حل دقیق سری بسل</w:t>
            </w:r>
          </w:p>
        </w:tc>
        <w:tc>
          <w:tcPr>
            <w:tcW w:w="0" w:type="auto"/>
            <w:vAlign w:val="center"/>
          </w:tcPr>
          <w:p>
            <w:pPr>
              <w:bidi/>
              <w:spacing w:after="120" w:line="360" w:lineRule="auto"/>
              <w:jc w:val="center"/>
            </w:pPr>
            <w:r>
              <w:rPr>
                <w:rFonts w:ascii="Times New Roman" w:hAnsi="Times New Roman" w:cs="B Nazanin"/>
                <w:sz w:val="20"/>
                <w:szCs w:val="24"/>
                <w:rtl/>
              </w:rPr>
              <w:t xml:space="preserve">خطای نسبی 10⁻⁵ تا 10⁻⁷</w:t>
            </w:r>
          </w:p>
        </w:tc>
      </w:tr>
      <w:tr>
        <w:tc>
          <w:tcPr>
            <w:tcW w:w="0" w:type="auto"/>
            <w:vAlign w:val="center"/>
          </w:tcPr>
          <w:p>
            <w:pPr>
              <w:bidi/>
              <w:spacing w:after="120" w:line="360" w:lineRule="auto"/>
              <w:jc w:val="center"/>
            </w:pPr>
            <w:r>
              <w:rPr>
                <w:rFonts w:ascii="Times New Roman" w:hAnsi="Times New Roman" w:cs="B Nazanin"/>
                <w:sz w:val="20"/>
                <w:szCs w:val="24"/>
              </w:rPr>
              <w:t xml:space="preserve">4</w:t>
            </w:r>
          </w:p>
        </w:tc>
        <w:tc>
          <w:tcPr>
            <w:tcW w:w="0" w:type="auto"/>
            <w:vAlign w:val="center"/>
          </w:tcPr>
          <w:p>
            <w:pPr>
              <w:bidi/>
              <w:spacing w:after="120" w:line="360" w:lineRule="auto"/>
              <w:jc w:val="center"/>
            </w:pPr>
            <w:r>
              <w:rPr>
                <w:rFonts w:ascii="Times New Roman" w:hAnsi="Times New Roman" w:cs="B Nazanin"/>
                <w:sz w:val="20"/>
                <w:szCs w:val="24"/>
                <w:rtl/>
              </w:rPr>
              <w:t xml:space="preserve">انتگرال‌گیری زمانی</w:t>
            </w:r>
          </w:p>
        </w:tc>
        <w:tc>
          <w:tcPr>
            <w:tcW w:w="0" w:type="auto"/>
            <w:vAlign w:val="center"/>
          </w:tcPr>
          <w:p>
            <w:pPr>
              <w:bidi/>
              <w:spacing w:after="120" w:line="360" w:lineRule="auto"/>
              <w:jc w:val="center"/>
            </w:pPr>
            <w:r>
              <w:rPr>
                <w:rFonts w:ascii="Times New Roman" w:hAnsi="Times New Roman" w:cs="B Nazanin"/>
                <w:sz w:val="20"/>
                <w:szCs w:val="24"/>
                <w:rtl/>
              </w:rPr>
              <w:t xml:space="preserve">ode15s متلب (روش مستقل)</w:t>
            </w:r>
          </w:p>
        </w:tc>
        <w:tc>
          <w:tcPr>
            <w:tcW w:w="0" w:type="auto"/>
            <w:vAlign w:val="center"/>
          </w:tcPr>
          <w:p>
            <w:pPr>
              <w:bidi/>
              <w:spacing w:after="120" w:line="360" w:lineRule="auto"/>
              <w:jc w:val="center"/>
            </w:pPr>
            <w:r>
              <w:rPr>
                <w:rFonts w:ascii="Times New Roman" w:hAnsi="Times New Roman" w:cs="B Nazanin"/>
                <w:sz w:val="20"/>
                <w:szCs w:val="24"/>
                <w:rtl/>
              </w:rPr>
              <w:t xml:space="preserve">حداکثر اختلاف 0.003 K</w:t>
            </w:r>
          </w:p>
        </w:tc>
      </w:tr>
      <w:tr>
        <w:tc>
          <w:tcPr>
            <w:tcW w:w="0" w:type="auto"/>
            <w:vAlign w:val="center"/>
          </w:tcPr>
          <w:p>
            <w:pPr>
              <w:bidi/>
              <w:spacing w:after="120" w:line="360" w:lineRule="auto"/>
              <w:jc w:val="center"/>
            </w:pPr>
            <w:r>
              <w:rPr>
                <w:rFonts w:ascii="Times New Roman" w:hAnsi="Times New Roman" w:cs="B Nazanin"/>
                <w:sz w:val="20"/>
                <w:szCs w:val="24"/>
              </w:rPr>
              <w:t xml:space="preserve">5</w:t>
            </w:r>
          </w:p>
        </w:tc>
        <w:tc>
          <w:tcPr>
            <w:tcW w:w="0" w:type="auto"/>
            <w:vAlign w:val="center"/>
          </w:tcPr>
          <w:p>
            <w:pPr>
              <w:bidi/>
              <w:spacing w:after="120" w:line="360" w:lineRule="auto"/>
              <w:jc w:val="center"/>
            </w:pPr>
            <w:r>
              <w:rPr>
                <w:rFonts w:ascii="Times New Roman" w:hAnsi="Times New Roman" w:cs="B Nazanin"/>
                <w:sz w:val="20"/>
                <w:szCs w:val="24"/>
                <w:rtl/>
              </w:rPr>
              <w:t xml:space="preserve">انتشار موج کوپلهٔ LS</w:t>
            </w:r>
          </w:p>
        </w:tc>
        <w:tc>
          <w:tcPr>
            <w:tcW w:w="0" w:type="auto"/>
            <w:vAlign w:val="center"/>
          </w:tcPr>
          <w:p>
            <w:pPr>
              <w:bidi/>
              <w:spacing w:after="120" w:line="360" w:lineRule="auto"/>
              <w:jc w:val="center"/>
            </w:pPr>
            <w:r>
              <w:rPr>
                <w:rFonts w:ascii="Times New Roman" w:hAnsi="Times New Roman" w:cs="B Nazanin"/>
                <w:sz w:val="20"/>
                <w:szCs w:val="24"/>
                <w:rtl/>
              </w:rPr>
              <w:t xml:space="preserve">بگری و اسلامی، IJMS 49 (2007)</w:t>
            </w:r>
          </w:p>
        </w:tc>
        <w:tc>
          <w:tcPr>
            <w:tcW w:w="0" w:type="auto"/>
            <w:vAlign w:val="center"/>
          </w:tcPr>
          <w:p>
            <w:pPr>
              <w:bidi/>
              <w:spacing w:after="120" w:line="360" w:lineRule="auto"/>
              <w:jc w:val="center"/>
            </w:pPr>
            <w:r>
              <w:rPr>
                <w:rFonts w:ascii="Times New Roman" w:hAnsi="Times New Roman" w:cs="B Nazanin"/>
                <w:sz w:val="20"/>
                <w:szCs w:val="24"/>
                <w:rtl/>
              </w:rPr>
              <w:t xml:space="preserve">هر دو سرعت موج و زمان‌های بازتاب بازتولید شد</w:t>
            </w:r>
          </w:p>
        </w:tc>
      </w:tr>
      <w:tr>
        <w:tc>
          <w:tcPr>
            <w:tcW w:w="0" w:type="auto"/>
            <w:vAlign w:val="center"/>
          </w:tcPr>
          <w:p>
            <w:pPr>
              <w:bidi/>
              <w:spacing w:after="120" w:line="360" w:lineRule="auto"/>
              <w:jc w:val="center"/>
            </w:pPr>
            <w:r>
              <w:rPr>
                <w:rFonts w:ascii="Times New Roman" w:hAnsi="Times New Roman" w:cs="B Nazanin"/>
                <w:sz w:val="20"/>
                <w:szCs w:val="24"/>
              </w:rPr>
              <w:t xml:space="preserve">6</w:t>
            </w:r>
          </w:p>
        </w:tc>
        <w:tc>
          <w:tcPr>
            <w:tcW w:w="0" w:type="auto"/>
            <w:vAlign w:val="center"/>
          </w:tcPr>
          <w:p>
            <w:pPr>
              <w:bidi/>
              <w:spacing w:after="120" w:line="360" w:lineRule="auto"/>
              <w:jc w:val="center"/>
            </w:pPr>
            <w:r>
              <w:rPr>
                <w:rFonts w:ascii="Times New Roman" w:hAnsi="Times New Roman" w:cs="B Nazanin"/>
                <w:sz w:val="20"/>
                <w:szCs w:val="24"/>
                <w:rtl/>
              </w:rPr>
              <w:t xml:space="preserve">همگرایی لایه‌ای</w:t>
            </w:r>
          </w:p>
        </w:tc>
        <w:tc>
          <w:tcPr>
            <w:tcW w:w="0" w:type="auto"/>
            <w:vAlign w:val="center"/>
          </w:tcPr>
          <w:p>
            <w:pPr>
              <w:bidi/>
              <w:spacing w:after="120" w:line="360" w:lineRule="auto"/>
              <w:jc w:val="center"/>
            </w:pPr>
            <w:r>
              <w:rPr>
                <w:rFonts w:ascii="Times New Roman" w:hAnsi="Times New Roman" w:cs="B Nazanin"/>
                <w:sz w:val="20"/>
                <w:szCs w:val="24"/>
                <w:rtl/>
              </w:rPr>
              <w:t xml:space="preserve">ریزسازی N_L = 5/10/20</w:t>
            </w:r>
          </w:p>
        </w:tc>
        <w:tc>
          <w:tcPr>
            <w:tcW w:w="0" w:type="auto"/>
            <w:vAlign w:val="center"/>
          </w:tcPr>
          <w:p>
            <w:pPr>
              <w:bidi/>
              <w:spacing w:after="120" w:line="360" w:lineRule="auto"/>
              <w:jc w:val="center"/>
            </w:pPr>
            <w:r>
              <w:rPr>
                <w:rFonts w:ascii="Times New Roman" w:hAnsi="Times New Roman" w:cs="B Nazanin"/>
                <w:sz w:val="20"/>
                <w:szCs w:val="24"/>
                <w:rtl/>
              </w:rPr>
              <w:t xml:space="preserve">یکنوا؛ برون‌یابی بر مقادیر مقاله منطبق است</w:t>
            </w:r>
          </w:p>
        </w:tc>
      </w:tr>
    </w:tbl>
    <w:p>
      <w:pPr>
        <w:bidi/>
        <w:spacing w:after="120" w:line="360" w:lineRule="auto"/>
        <w:jc w:val="both"/>
      </w:pPr>
    </w:p>
    <w:p>
      <w:pPr>
        <w:pStyle w:val="Heading1"/>
        <w:bidi/>
        <w:spacing w:after="120" w:line="360" w:lineRule="auto"/>
        <w:jc w:val="right"/>
      </w:pPr>
      <w:r>
        <w:rPr>
          <w:rFonts w:ascii="Times New Roman" w:hAnsi="Times New Roman" w:cs="B Nazanin"/>
          <w:b/>
          <w:bCs/>
          <w:sz w:val="28"/>
          <w:szCs w:val="32"/>
          <w:rtl/>
        </w:rPr>
        <w:t xml:space="preserve">۴-۳ اثر الگوی توزیع GPL (مطالعهٔ A)</w:t>
      </w:r>
    </w:p>
    <w:p>
      <w:pPr>
        <w:bidi/>
        <w:jc w:val="center"/>
      </w:pPr>
      <w:r>
        <w:drawing>
          <wp:inline distT="0" distB="0" distL="0" distR="0">
            <wp:extent cx="5760000" cy="3652487"/>
            <wp:docPr id="101" name="A_GPL_patterns"/>
            <a:graphic xmlns:a="http://schemas.openxmlformats.org/drawingml/2006/main">
              <a:graphicData uri="http://schemas.openxmlformats.org/drawingml/2006/picture">
                <pic:pic xmlns:pic="http://schemas.openxmlformats.org/drawingml/2006/picture">
                  <pic:nvPicPr>
                    <pic:cNvPr id="101" name="A_GPL_patterns"/>
                    <pic:cNvPicPr/>
                  </pic:nvPicPr>
                  <pic:blipFill>
                    <a:blip r:embed="rId11"/>
                    <a:stretch>
                      <a:fillRect/>
                    </a:stretch>
                  </pic:blipFill>
                  <pic:spPr>
                    <a:xfrm>
                      <a:off x="0" y="0"/>
                      <a:ext cx="5760000" cy="365248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۴-x: اثر الگوی توزیع نانوصفحات گرافنی (UD، O، X، V، A) بر پاسخ گذرای استوانهٔ پایه: (الف) تاریخچهٔ دمای نقطهٔ میانی، (ب) تاریخچهٔ جابه‌جایی شعاعی نقطهٔ میانی، (ج) پروفیل شعاعی دما در زمان نهایی، (د) پروفیل تنش محیطی در زمان نهایی (z = L/2).</w:t>
      </w:r>
    </w:p>
    <w:p>
      <w:pPr>
        <w:bidi/>
        <w:spacing w:after="120" w:line="360" w:lineRule="auto"/>
        <w:jc w:val="both"/>
      </w:pPr>
      <w:r>
        <w:rPr>
          <w:rFonts w:ascii="Times New Roman" w:hAnsi="Times New Roman" w:cs="B Nazanin"/>
          <w:sz w:val="24"/>
          <w:szCs w:val="28"/>
          <w:rtl/>
        </w:rPr>
        <w:t xml:space="preserve">با تخلخل ثابت (UD)، پنج الگوی توزیع GPL هم سرعت عبور حرارت از جدار و هم نحوهٔ تحمل تنش حرارتی را تغییر می‌دهند. بیشینهٔ دمای نقطهٔ میانی ضخامت برابر است با: T*_max = 1.41 (UD)، 1.37 (O)، 1.34 (X)، 1.19 (V) و 1.46 (A). الگوی V — غنی از GPL در سطح داخلی — مطلوب‌ترین حالت است: ناحیهٔ داخلی با هدایت بالا گرمای ورودی را پخش می‌کند و بیشینهٔ دمای آن 16٪ کمتر از UD است؛ هم‌زمان تنش محیطی نهایی سطح داخلی آن σ*_θθ = 0.036 است، یعنی 5.5 برابر کوچک‌تر از UD (0.196) و 8.8 برابر کوچک‌تر از الگوی A (0.313). الگوی A (غنی از GPL در سطح خارجی و ماتریس عایق در مجاورت حفره) از هر دو نظر بدترین حالت است. جابه‌جایی شعاعی نیز همین ترتیب را دارد (u*_max از 0.95 برای V تا 1.11 برای A). از دید فیزیکی، قرار دادن فاز سفت و رسانا در محل بیشترین گرادیان دما (جدار داخلی گرم‌شده) هم گرادیان را تعدیل می‌کند و هم ناحیهٔ بیشینهٔ تنش محیطی را تقویت می‌کند.</w:t>
      </w:r>
    </w:p>
    <w:p>
      <w:pPr>
        <w:pStyle w:val="Heading1"/>
        <w:bidi/>
        <w:spacing w:after="120" w:line="360" w:lineRule="auto"/>
        <w:jc w:val="right"/>
      </w:pPr>
      <w:r>
        <w:rPr>
          <w:rFonts w:ascii="Times New Roman" w:hAnsi="Times New Roman" w:cs="B Nazanin"/>
          <w:b/>
          <w:bCs/>
          <w:sz w:val="28"/>
          <w:szCs w:val="32"/>
          <w:rtl/>
        </w:rPr>
        <w:t xml:space="preserve">۴-۴ اثر الگوی تخلخل و سطح تخلخل (مطالعه‌های B و E)</w:t>
      </w:r>
    </w:p>
    <w:p>
      <w:pPr>
        <w:bidi/>
        <w:jc w:val="center"/>
      </w:pPr>
      <w:r>
        <w:drawing>
          <wp:inline distT="0" distB="0" distL="0" distR="0">
            <wp:extent cx="5760000" cy="3652487"/>
            <wp:docPr id="102" name="B_porosity_patterns"/>
            <a:graphic xmlns:a="http://schemas.openxmlformats.org/drawingml/2006/main">
              <a:graphicData uri="http://schemas.openxmlformats.org/drawingml/2006/picture">
                <pic:pic xmlns:pic="http://schemas.openxmlformats.org/drawingml/2006/picture">
                  <pic:nvPicPr>
                    <pic:cNvPr id="102" name="B_porosity_patterns"/>
                    <pic:cNvPicPr/>
                  </pic:nvPicPr>
                  <pic:blipFill>
                    <a:blip r:embed="rId12"/>
                    <a:stretch>
                      <a:fillRect/>
                    </a:stretch>
                  </pic:blipFill>
                  <pic:spPr>
                    <a:xfrm>
                      <a:off x="0" y="0"/>
                      <a:ext cx="5760000" cy="365248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۴-x: اثر الگوی تخلخل (UD، O، X، V، A) در توزیع GPL ثابتِ UD؛ الگوی A همچون سد حرارتی عمل می‌کند و الگوی V بزرگ‌ترین قلهٔ گذرای به‌دام‌افتادن گرما را ایجاد می‌کند.</w:t>
      </w:r>
    </w:p>
    <w:p>
      <w:pPr>
        <w:bidi/>
        <w:spacing w:after="120" w:line="360" w:lineRule="auto"/>
        <w:jc w:val="both"/>
      </w:pPr>
      <w:r>
        <w:rPr>
          <w:rFonts w:ascii="Times New Roman" w:hAnsi="Times New Roman" w:cs="B Nazanin"/>
          <w:sz w:val="24"/>
          <w:szCs w:val="28"/>
          <w:rtl/>
        </w:rPr>
        <w:t xml:space="preserve">الگوی تخلخل اساساً بر مسیر هدایت اثر می‌گذارد. الگوهای UD، O و X رفتار مشابهی دارند (T*_max = 1.41، 1.42، 1.37). دو الگوی نامتقارن، دو حد مقابل‌اند:</w:t>
      </w:r>
    </w:p>
    <w:p>
      <w:pPr>
        <w:bidi/>
        <w:spacing w:after="120" w:line="360" w:lineRule="auto"/>
        <w:ind w:left="425" w:right="425"/>
        <w:jc w:val="both"/>
      </w:pPr>
      <w:r>
        <w:rPr>
          <w:rFonts w:ascii="Times New Roman" w:hAnsi="Times New Roman" w:cs="B Nazanin"/>
          <w:sz w:val="24"/>
          <w:szCs w:val="28"/>
        </w:rPr>
        <w:t xml:space="preserve">• </w:t>
      </w:r>
      <w:r>
        <w:rPr>
          <w:rFonts w:ascii="Times New Roman" w:hAnsi="Times New Roman" w:cs="B Nazanin"/>
          <w:b/>
          <w:bCs/>
          <w:sz w:val="24"/>
          <w:szCs w:val="28"/>
          <w:rtl/>
        </w:rPr>
        <w:t xml:space="preserve">الگوی V</w:t>
      </w:r>
      <w:r>
        <w:rPr>
          <w:rFonts w:ascii="Times New Roman" w:hAnsi="Times New Roman" w:cs="B Nazanin"/>
          <w:sz w:val="24"/>
          <w:szCs w:val="28"/>
          <w:rtl/>
        </w:rPr>
        <w:t xml:space="preserve"> (تمرکز حفره‌ها در سطح داخلی) ابتدا گرما را کنار حفرهٔ استوانه به دام می‌اندازد — نقطهٔ میانی بزرگ‌ترین قلهٔ گذرای این گروه، T*_max = 1.61 در Fo = 0.51 را نشان می‌دهد — اما سپس همان نوار متخلخل داخلی ورود گرمای بیشتر را محدود می‌کند؛ در پایان فرایند دمای نقطهٔ میانی به T* = 1.04 و سطح خارجی به 0.57 بازمی‌گردد.</w:t>
      </w:r>
    </w:p>
    <w:p>
      <w:pPr>
        <w:bidi/>
        <w:spacing w:after="120" w:line="360" w:lineRule="auto"/>
        <w:ind w:left="425" w:right="425"/>
        <w:jc w:val="both"/>
      </w:pPr>
      <w:r>
        <w:rPr>
          <w:rFonts w:ascii="Times New Roman" w:hAnsi="Times New Roman" w:cs="B Nazanin"/>
          <w:sz w:val="24"/>
          <w:szCs w:val="28"/>
        </w:rPr>
        <w:t xml:space="preserve">• </w:t>
      </w:r>
      <w:r>
        <w:rPr>
          <w:rFonts w:ascii="Times New Roman" w:hAnsi="Times New Roman" w:cs="B Nazanin"/>
          <w:b/>
          <w:bCs/>
          <w:sz w:val="24"/>
          <w:szCs w:val="28"/>
          <w:rtl/>
        </w:rPr>
        <w:t xml:space="preserve">الگوی A</w:t>
      </w:r>
      <w:r>
        <w:rPr>
          <w:rFonts w:ascii="Times New Roman" w:hAnsi="Times New Roman" w:cs="B Nazanin"/>
          <w:sz w:val="24"/>
          <w:szCs w:val="28"/>
          <w:rtl/>
        </w:rPr>
        <w:t xml:space="preserve"> (تمرکز حفره‌ها در سطح خارجی) یک </w:t>
      </w:r>
      <w:r>
        <w:rPr>
          <w:rFonts w:ascii="Times New Roman" w:hAnsi="Times New Roman" w:cs="B Nazanin"/>
          <w:b/>
          <w:bCs/>
          <w:sz w:val="24"/>
          <w:szCs w:val="28"/>
          <w:rtl/>
        </w:rPr>
        <w:t xml:space="preserve">سد حرارتی</w:t>
      </w:r>
      <w:r>
        <w:rPr>
          <w:rFonts w:ascii="Times New Roman" w:hAnsi="Times New Roman" w:cs="B Nazanin"/>
          <w:sz w:val="24"/>
          <w:szCs w:val="28"/>
          <w:rtl/>
        </w:rPr>
        <w:t xml:space="preserve"> واقعی است: نوار متخلخل بیرونی هدایت به سمت خارج را مسدود می‌کند؛ دمای نقطهٔ میانی هرگز از T* = 0.28 فراتر نمی‌رود و سطح خارجی روی 0.25 می‌ماند — کاهش 5.6 برابری دمای سطح خارجی نسبت به UD (با 1.37). بهای آن در سمت مکانیکی پرداخت می‌شود: جابه‌جایی‌ها فرو می‌ریزند (u*_max = 0.24) و تنش محیطی نهایی سطح داخلی حتی تغییر علامت می‌دهد (−0.025).</w:t>
      </w:r>
    </w:p>
    <w:p>
      <w:pPr>
        <w:bidi/>
        <w:jc w:val="center"/>
      </w:pPr>
      <w:r>
        <w:drawing>
          <wp:inline distT="0" distB="0" distL="0" distR="0">
            <wp:extent cx="5760000" cy="3652487"/>
            <wp:docPr id="103" name="E_porosity_level"/>
            <a:graphic xmlns:a="http://schemas.openxmlformats.org/drawingml/2006/main">
              <a:graphicData uri="http://schemas.openxmlformats.org/drawingml/2006/picture">
                <pic:pic xmlns:pic="http://schemas.openxmlformats.org/drawingml/2006/picture">
                  <pic:nvPicPr>
                    <pic:cNvPr id="103" name="E_porosity_level"/>
                    <pic:cNvPicPr/>
                  </pic:nvPicPr>
                  <pic:blipFill>
                    <a:blip r:embed="rId13"/>
                    <a:stretch>
                      <a:fillRect/>
                    </a:stretch>
                  </pic:blipFill>
                  <pic:spPr>
                    <a:xfrm>
                      <a:off x="0" y="0"/>
                      <a:ext cx="5760000" cy="365248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۴-x: اثر سطح تخلخل (e_m3 = 0.9675، 0.8980، 0.7776): تخلخل بیشتر قلهٔ دما را بالا می‌برد و گذرای درون‌جداری را کند می‌کند.</w:t>
      </w:r>
    </w:p>
    <w:p>
      <w:pPr>
        <w:bidi/>
        <w:spacing w:after="120" w:line="360" w:lineRule="auto"/>
        <w:jc w:val="both"/>
      </w:pPr>
      <w:r>
        <w:rPr>
          <w:rFonts w:ascii="Times New Roman" w:hAnsi="Times New Roman" w:cs="B Nazanin"/>
          <w:sz w:val="24"/>
          <w:szCs w:val="28"/>
          <w:rtl/>
        </w:rPr>
        <w:t xml:space="preserve">افزایش تخلخل کلی (e_m3 = 0.9675 ← 0.8980 ← 0.7776، یعنی از تخلخل کم به زیاد) هدایت و سفتی را با هم کاهش می‌دهد: بیشینهٔ دما اندکی رشد می‌کند (1.38 ← 1.41 ← 1.51) در حالی که فرایند کند می‌شود (مقدار نهایی نقطهٔ میانی از 1.38 به 1.21 می‌افتد؛ زیرا در t_end جدار هنوز در حال پر شدن از گرماست).</w:t>
      </w:r>
    </w:p>
    <w:p>
      <w:pPr>
        <w:pStyle w:val="Heading1"/>
        <w:bidi/>
        <w:spacing w:after="120" w:line="360" w:lineRule="auto"/>
        <w:jc w:val="right"/>
      </w:pPr>
      <w:r>
        <w:rPr>
          <w:rFonts w:ascii="Times New Roman" w:hAnsi="Times New Roman" w:cs="B Nazanin"/>
          <w:b/>
          <w:bCs/>
          <w:sz w:val="28"/>
          <w:szCs w:val="32"/>
          <w:rtl/>
        </w:rPr>
        <w:t xml:space="preserve">۴-۵ اثر کسر وزنی GPL (مطالعهٔ D)</w:t>
      </w:r>
    </w:p>
    <w:p>
      <w:pPr>
        <w:bidi/>
        <w:jc w:val="center"/>
      </w:pPr>
      <w:r>
        <w:drawing>
          <wp:inline distT="0" distB="0" distL="0" distR="0">
            <wp:extent cx="5760000" cy="3652487"/>
            <wp:docPr id="104" name="D_GPL_fraction"/>
            <a:graphic xmlns:a="http://schemas.openxmlformats.org/drawingml/2006/main">
              <a:graphicData uri="http://schemas.openxmlformats.org/drawingml/2006/picture">
                <pic:pic xmlns:pic="http://schemas.openxmlformats.org/drawingml/2006/picture">
                  <pic:nvPicPr>
                    <pic:cNvPr id="104" name="D_GPL_fraction"/>
                    <pic:cNvPicPr/>
                  </pic:nvPicPr>
                  <pic:blipFill>
                    <a:blip r:embed="rId14"/>
                    <a:stretch>
                      <a:fillRect/>
                    </a:stretch>
                  </pic:blipFill>
                  <pic:spPr>
                    <a:xfrm>
                      <a:off x="0" y="0"/>
                      <a:ext cx="5760000" cy="365248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۴-x: اثر کسر وزنی GPL (W = 0، 1٪، 4٪، 8٪): شبکهٔ پرکوله‌شدهٔ GPL جدار را از رفتار عایق حرارتی (W = 0) به رفتار رسانا تبدیل می‌کند.</w:t>
      </w:r>
    </w:p>
    <w:p>
      <w:pPr>
        <w:bidi/>
        <w:spacing w:after="120" w:line="360" w:lineRule="auto"/>
        <w:jc w:val="both"/>
      </w:pPr>
      <w:r>
        <w:rPr>
          <w:rFonts w:ascii="Times New Roman" w:hAnsi="Times New Roman" w:cs="B Nazanin"/>
          <w:sz w:val="24"/>
          <w:szCs w:val="28"/>
          <w:rtl/>
        </w:rPr>
        <w:t xml:space="preserve">سرشت پرکولاسیونیِ مدل هدایت، W_GPL را قوی‌ترین اهرم مادی مسئله می‌سازد. بدون GPL (W = 0) جدار، اپوکسی متخلخل خالص است (k ≈ 0.25 W/mK و ᾱ ≈ 1.9×10⁻⁷ m²/s): در کل بازهٔ 100 ثانیه‌ای، موج گرما حتی به میانهٔ ضخامت نمی‌رسد (T* ≈ 0 در سراسر تاریخچه؛ جابه‌جایی کوچک u* = 0.075 پاسخ فشار است). از همان W = 1٪ شبکهٔ پرکوله‌شدهٔ GPL هدایت را سه مرتبهٔ بزرگی بالا می‌برد و رفتار گذرای آشنا برقرار می‌شود (T*_max = 1.09)؛ W = 4٪ (پایه) مقدار 1.41 و W = 8٪ مقدار 1.54 را می‌دهد با جداری بسیار سفت‌تر — تنش محیطی نهایی سطح داخلی دو برابر می‌شود (0.397 در برابر 0.196). نتیجهٔ کاربردی: کسر کوچکی از GPL برای تبدیل سازه از «عایق حرارتی» به «رسانای حرارتی» کافی است و پس از آن، GPL بیشتر عمدتاً تنش‌های حرارتی را بالا می‌برد.</w:t>
      </w:r>
    </w:p>
    <w:p>
      <w:pPr>
        <w:pStyle w:val="Heading1"/>
        <w:bidi/>
        <w:spacing w:after="120" w:line="360" w:lineRule="auto"/>
        <w:jc w:val="right"/>
      </w:pPr>
      <w:r>
        <w:rPr>
          <w:rFonts w:ascii="Times New Roman" w:hAnsi="Times New Roman" w:cs="B Nazanin"/>
          <w:b/>
          <w:bCs/>
          <w:sz w:val="28"/>
          <w:szCs w:val="32"/>
          <w:rtl/>
        </w:rPr>
        <w:t xml:space="preserve">۴-۶ اثر زمان آسایش — لرد–شولمن در برابر فوریه (مطالعهٔ C)</w:t>
      </w:r>
    </w:p>
    <w:p>
      <w:pPr>
        <w:bidi/>
        <w:jc w:val="center"/>
      </w:pPr>
      <w:r>
        <w:drawing>
          <wp:inline distT="0" distB="0" distL="0" distR="0">
            <wp:extent cx="5760000" cy="3652487"/>
            <wp:docPr id="105" name="C_relaxation"/>
            <a:graphic xmlns:a="http://schemas.openxmlformats.org/drawingml/2006/main">
              <a:graphicData uri="http://schemas.openxmlformats.org/drawingml/2006/picture">
                <pic:pic xmlns:pic="http://schemas.openxmlformats.org/drawingml/2006/picture">
                  <pic:nvPicPr>
                    <pic:cNvPr id="105" name="C_relaxation"/>
                    <pic:cNvPicPr/>
                  </pic:nvPicPr>
                  <pic:blipFill>
                    <a:blip r:embed="rId15"/>
                    <a:stretch>
                      <a:fillRect/>
                    </a:stretch>
                  </pic:blipFill>
                  <pic:spPr>
                    <a:xfrm>
                      <a:off x="0" y="0"/>
                      <a:ext cx="5760000" cy="365248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۴-x: اثر زمان آسایش بی‌بعد τ* بر پاسخ (فوریه و τ* = 0.15، 0.44، 0.87). رسیدن‌های موج در Fo ≈ 0.17 و 0.55 و فراجهش هذلولوی T* &gt; 1 دیده می‌شود؛ نوسان‌های خفیف پشت جبهه‌ها اثر گیبسِ فیلترنشده است (δ = ½).</w:t>
      </w:r>
    </w:p>
    <w:p>
      <w:pPr>
        <w:bidi/>
        <w:spacing w:after="120" w:line="360" w:lineRule="auto"/>
        <w:jc w:val="both"/>
      </w:pPr>
      <w:r>
        <w:rPr>
          <w:rFonts w:ascii="Times New Roman" w:hAnsi="Times New Roman" w:cs="B Nazanin"/>
          <w:sz w:val="24"/>
          <w:szCs w:val="28"/>
          <w:rtl/>
        </w:rPr>
        <w:t xml:space="preserve">در هدایت فوریه (τ* = 0) دمای نقطهٔ میانی یکنوا بالا می‌رود و هرگز از مقدار محرک فراتر نمی‌رود (T*_max = 0.99): نفوذ کلاسیک نمی‌تواند فراجهش داشته باشد. با فعال شدن آسایش لرد–شولمن، گرما به‌صورت موجی با سرعت √(ᾱ/τ0) منتشر می‌شود: نخستین رسیدن به میانهٔ ضخامت در Fo ≈ 0.17 (برای τ* = 0.44) دیده می‌شود و جبههٔ دوم (بازتاب از سطح خارجی) در Fo ≈ 0.55. چون هندسهٔ استوانه‌ای موج بازتابیده را کانونی می‌کند، دما از مقدار حفره </w:t>
      </w:r>
      <w:r>
        <w:rPr>
          <w:rFonts w:ascii="Times New Roman" w:hAnsi="Times New Roman" w:cs="B Nazanin"/>
          <w:b/>
          <w:bCs/>
          <w:sz w:val="24"/>
          <w:szCs w:val="28"/>
          <w:rtl/>
        </w:rPr>
        <w:t xml:space="preserve">فراجهش</w:t>
      </w:r>
      <w:r>
        <w:rPr>
          <w:rFonts w:ascii="Times New Roman" w:hAnsi="Times New Roman" w:cs="B Nazanin"/>
          <w:sz w:val="24"/>
          <w:szCs w:val="28"/>
          <w:rtl/>
        </w:rPr>
        <w:t xml:space="preserve"> می‌کند — اثری صرفاً هذلولوی که در نظریهٔ سهموی ناممکن است: T*_max = 1.17 (τ* = 0.15)، 1.41 (τ* = 0.44) و 1.30 در t_end و هم‌چنان در حال رشد (τ* = 0.87؛ موجِ کندتر در این بازه گذرهای کمتری کامل کرده است). بنابراین زمان آسایش هم زمان‌های رسیدن (سرعت متناسب با 1/√τ0) و هم دامنهٔ فراجهش را کنترل می‌کند و اثر انگشت آشکار آن در تاریخچه‌ها، استدلال فیزیکی اصلیِ به‌کارگیری ترموالاستیسیتهٔ تعمیم‌یافته در تحلیل‌های کوتاه‌زمان این سازه است.</w:t>
      </w:r>
    </w:p>
    <w:p>
      <w:pPr>
        <w:pStyle w:val="Heading1"/>
        <w:bidi/>
        <w:spacing w:after="120" w:line="360" w:lineRule="auto"/>
        <w:jc w:val="right"/>
      </w:pPr>
      <w:r>
        <w:rPr>
          <w:rFonts w:ascii="Times New Roman" w:hAnsi="Times New Roman" w:cs="B Nazanin"/>
          <w:b/>
          <w:bCs/>
          <w:sz w:val="28"/>
          <w:szCs w:val="32"/>
          <w:rtl/>
        </w:rPr>
        <w:t xml:space="preserve">۴-۷ اثر تکیه‌گاه دو انتها (مطالعهٔ F)</w:t>
      </w:r>
    </w:p>
    <w:p>
      <w:pPr>
        <w:bidi/>
        <w:jc w:val="center"/>
      </w:pPr>
      <w:r>
        <w:drawing>
          <wp:inline distT="0" distB="0" distL="0" distR="0">
            <wp:extent cx="5760000" cy="3652487"/>
            <wp:docPr id="106" name="F_end_BC"/>
            <a:graphic xmlns:a="http://schemas.openxmlformats.org/drawingml/2006/main">
              <a:graphicData uri="http://schemas.openxmlformats.org/drawingml/2006/picture">
                <pic:pic xmlns:pic="http://schemas.openxmlformats.org/drawingml/2006/picture">
                  <pic:nvPicPr>
                    <pic:cNvPr id="106" name="F_end_BC"/>
                    <pic:cNvPicPr/>
                  </pic:nvPicPr>
                  <pic:blipFill>
                    <a:blip r:embed="rId16"/>
                    <a:stretch>
                      <a:fillRect/>
                    </a:stretch>
                  </pic:blipFill>
                  <pic:spPr>
                    <a:xfrm>
                      <a:off x="0" y="0"/>
                      <a:ext cx="5760000" cy="365248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۴-x: اثر تکیه‌گاه انتها (سادهٔ در برابر گیردار): میدان دما تغییر نمی‌کند، اما انبساط محوریِ مسدود جابه‌جایی شعاعی میانهٔ طول را 35٪ افزایش می‌دهد.</w:t>
      </w:r>
    </w:p>
    <w:p>
      <w:pPr>
        <w:bidi/>
        <w:spacing w:after="120" w:line="360" w:lineRule="auto"/>
        <w:jc w:val="both"/>
      </w:pPr>
      <w:r>
        <w:rPr>
          <w:rFonts w:ascii="Times New Roman" w:hAnsi="Times New Roman" w:cs="B Nazanin"/>
          <w:sz w:val="24"/>
          <w:szCs w:val="28"/>
          <w:rtl/>
        </w:rPr>
        <w:t xml:space="preserve">تغییر تکیه‌گاه از ساده به گیردار میدان دما را عملاً دست‌نخورده می‌گذارد (تغییر T*_max فقط 0.8٪) — مسئلهٔ حرارتی تکیه‌گاه مکانیکی را نمی‌بیند. اما پاسخ مکانیکی تغییر ماهیت می‌دهد: با انتهای گیردار، انبساط حرارتی محوری جدار مسدود می‌شود و به‌واسطهٔ اثر پواسون، کرنش محوریِ مسدودشده به سمت شعاعی هدایت می‌شود — جابه‌جایی شعاعی میانهٔ طول 35٪ افزایش می‌یابد (u*_max = 1.45 در برابر 1.07)، در حالی که تنش محیطی نهایی سطح داخلی از 0.196 به 0.146 *کاهش* می‌یابد؛ زیرا بخشی از بار به قید انتهایی منتقل می‌شود. هر دو تکیه‌گاه اغتشاش‌هایی موضعی در انتهاها ایجاد می‌کنند که تقریباً در فاصله‌ای برابر یک ضخامت جدار میرا می‌شوند؛ بنابراین تاریخچه‌های میانهٔ طول تا حد چند درصد مستقل از تکیه‌گاه‌اند — و همین، گزارش کمیت‌های میانهٔ طول به‌عنوان پاسخ مشخصه را موجه می‌کند.</w:t>
      </w:r>
    </w:p>
    <w:p>
      <w:pPr>
        <w:pStyle w:val="Heading1"/>
        <w:bidi/>
        <w:spacing w:after="120" w:line="360" w:lineRule="auto"/>
        <w:jc w:val="right"/>
      </w:pPr>
      <w:r>
        <w:rPr>
          <w:rFonts w:ascii="Times New Roman" w:hAnsi="Times New Roman" w:cs="B Nazanin"/>
          <w:b/>
          <w:bCs/>
          <w:sz w:val="28"/>
          <w:szCs w:val="32"/>
          <w:rtl/>
        </w:rPr>
        <w:t xml:space="preserve">۴-۸ اثر فشار داخلی — پله‌ای و هارمونیک (مطالعه‌های G و N)</w:t>
      </w:r>
    </w:p>
    <w:p>
      <w:pPr>
        <w:bidi/>
        <w:jc w:val="center"/>
      </w:pPr>
      <w:r>
        <w:drawing>
          <wp:inline distT="0" distB="0" distL="0" distR="0">
            <wp:extent cx="5760000" cy="3652487"/>
            <wp:docPr id="107" name="G_pressure"/>
            <a:graphic xmlns:a="http://schemas.openxmlformats.org/drawingml/2006/main">
              <a:graphicData uri="http://schemas.openxmlformats.org/drawingml/2006/picture">
                <pic:pic xmlns:pic="http://schemas.openxmlformats.org/drawingml/2006/picture">
                  <pic:nvPicPr>
                    <pic:cNvPr id="107" name="G_pressure"/>
                    <pic:cNvPicPr/>
                  </pic:nvPicPr>
                  <pic:blipFill>
                    <a:blip r:embed="rId17"/>
                    <a:stretch>
                      <a:fillRect/>
                    </a:stretch>
                  </pic:blipFill>
                  <pic:spPr>
                    <a:xfrm>
                      <a:off x="0" y="0"/>
                      <a:ext cx="5760000" cy="365248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۴-x: اثر حذف فشار داخلی (P_i = 1 MPa در برابر صفر): پاسخ حرارت‌غالب است و کمتر از 1٪ تغییر می‌کند.</w:t>
      </w:r>
    </w:p>
    <w:p>
      <w:pPr>
        <w:bidi/>
        <w:jc w:val="center"/>
      </w:pPr>
      <w:r>
        <w:drawing>
          <wp:inline distT="0" distB="0" distL="0" distR="0">
            <wp:extent cx="5760000" cy="3652487"/>
            <wp:docPr id="108" name="N_sine_pressure"/>
            <a:graphic xmlns:a="http://schemas.openxmlformats.org/drawingml/2006/main">
              <a:graphicData uri="http://schemas.openxmlformats.org/drawingml/2006/picture">
                <pic:pic xmlns:pic="http://schemas.openxmlformats.org/drawingml/2006/picture">
                  <pic:nvPicPr>
                    <pic:cNvPr id="108" name="N_sine_pressure"/>
                    <pic:cNvPicPr/>
                  </pic:nvPicPr>
                  <pic:blipFill>
                    <a:blip r:embed="rId18"/>
                    <a:stretch>
                      <a:fillRect/>
                    </a:stretch>
                  </pic:blipFill>
                  <pic:spPr>
                    <a:xfrm>
                      <a:off x="0" y="0"/>
                      <a:ext cx="5760000" cy="365248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۴-x: اثر فشار داخلی هارمونیک (P_0 = 5 MPa) در برابر فشار پله‌ای: موج کوچکی بر جابه‌جایی بدون تغییر حل حرارتی.</w:t>
      </w:r>
    </w:p>
    <w:p>
      <w:pPr>
        <w:bidi/>
        <w:spacing w:after="120" w:line="360" w:lineRule="auto"/>
        <w:jc w:val="both"/>
      </w:pPr>
      <w:r>
        <w:rPr>
          <w:rFonts w:ascii="Times New Roman" w:hAnsi="Times New Roman" w:cs="B Nazanin"/>
          <w:sz w:val="24"/>
          <w:szCs w:val="28"/>
          <w:rtl/>
        </w:rPr>
        <w:t xml:space="preserve">در سطوح بارگذاری مورد نظر، پاسخ حرارت‌غالب است: حذف فشار داخلی 1 MPa تاریخچه‌های جابه‌جایی و تنش را بسیار کمتر از 1٪ تغییر می‌دهد (مثلاً u*_max از 1.0735 به 1.0721)؛ زیرا مقیاس تنش حرارتی β̄ΔT دو مرتبهٔ بزرگی بزرگ‌تر از P_i است. حتی فشار هارمونیک با دامنهٔ 5 MPa (مطالعهٔ N) تنها موج کوچکی بر تاریخچهٔ جابه‌جایی سوار می‌کند بی‌آنکه حل دما تغییر کند (T*_max تا 10⁻⁵ برابر حالت پایه). نتیجهٔ مهندسی — در رویدادهای گرمایش سریع با این مرتبه، جملهٔ فشار یک تصحیح مرتبهٔ دوم است — رویهٔ رایج مراجع در مطالعهٔ شوک حرارتی به‌تنهایی را نیز توجیه می‌کند.</w:t>
      </w:r>
    </w:p>
    <w:p>
      <w:pPr>
        <w:pStyle w:val="Heading1"/>
        <w:bidi/>
        <w:spacing w:after="120" w:line="360" w:lineRule="auto"/>
        <w:jc w:val="right"/>
      </w:pPr>
      <w:r>
        <w:rPr>
          <w:rFonts w:ascii="Times New Roman" w:hAnsi="Times New Roman" w:cs="B Nazanin"/>
          <w:b/>
          <w:bCs/>
          <w:sz w:val="28"/>
          <w:szCs w:val="32"/>
          <w:rtl/>
        </w:rPr>
        <w:t xml:space="preserve">۴-۹ برهم‌کنش الگوهای GPL و تخلخل (مطالعهٔ H)</w:t>
      </w:r>
    </w:p>
    <w:p>
      <w:pPr>
        <w:bidi/>
        <w:jc w:val="center"/>
      </w:pPr>
      <w:r>
        <w:drawing>
          <wp:inline distT="0" distB="0" distL="0" distR="0">
            <wp:extent cx="5760000" cy="3652487"/>
            <wp:docPr id="109" name="H_interaction"/>
            <a:graphic xmlns:a="http://schemas.openxmlformats.org/drawingml/2006/main">
              <a:graphicData uri="http://schemas.openxmlformats.org/drawingml/2006/picture">
                <pic:pic xmlns:pic="http://schemas.openxmlformats.org/drawingml/2006/picture">
                  <pic:nvPicPr>
                    <pic:cNvPr id="109" name="H_interaction"/>
                    <pic:cNvPicPr/>
                  </pic:nvPicPr>
                  <pic:blipFill>
                    <a:blip r:embed="rId19"/>
                    <a:stretch>
                      <a:fillRect/>
                    </a:stretch>
                  </pic:blipFill>
                  <pic:spPr>
                    <a:xfrm>
                      <a:off x="0" y="0"/>
                      <a:ext cx="5760000" cy="365248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۴-x: برهم‌کنش الگوهای GPL و تخلخل (UD/UD، X+O، X+A، V+O، V+A): ترکیب V-GPL + تخلخل A دمای سطح خارجی را ۹ برابر کاهش می‌دهد — طرح حفاظت حرارتی این پژوهش.</w:t>
      </w:r>
    </w:p>
    <w:p>
      <w:pPr>
        <w:bidi/>
        <w:spacing w:after="120" w:line="360" w:lineRule="auto"/>
        <w:jc w:val="both"/>
      </w:pPr>
      <w:r>
        <w:rPr>
          <w:rFonts w:ascii="Times New Roman" w:hAnsi="Times New Roman" w:cs="B Nazanin"/>
          <w:sz w:val="24"/>
          <w:szCs w:val="28"/>
          <w:rtl/>
        </w:rPr>
        <w:t xml:space="preserve">ترکیب بهترین الگوی GPL (V، بند ۴-۳) با الگوی سد حرارتی تخلخل (A، بند ۴-۴) می‌آزماید که آیا دو سازوکار با هم همکاری می‌کنند. پاسخ مثبت است و سد تخلخل بر برهم‌کنش غالب است: با X-GPL تعویض تخلخل از O به A قلهٔ نقطهٔ میانی را از 1.30 به 0.35 می‌رساند؛ با V-GPL از 1.23 به 0.17. بهترین ترکیب، </w:t>
      </w:r>
      <w:r>
        <w:rPr>
          <w:rFonts w:ascii="Times New Roman" w:hAnsi="Times New Roman" w:cs="B Nazanin"/>
          <w:b/>
          <w:bCs/>
          <w:sz w:val="24"/>
          <w:szCs w:val="28"/>
          <w:rtl/>
        </w:rPr>
        <w:t xml:space="preserve">V-GPL + تخلخل A</w:t>
      </w:r>
      <w:r>
        <w:rPr>
          <w:rFonts w:ascii="Times New Roman" w:hAnsi="Times New Roman" w:cs="B Nazanin"/>
          <w:sz w:val="24"/>
          <w:szCs w:val="28"/>
          <w:rtl/>
        </w:rPr>
        <w:t xml:space="preserve">، دمای سطح خارجی را روی T* = 0.15 نگه می‌دارد — کاهش </w:t>
      </w:r>
      <w:r>
        <w:rPr>
          <w:rFonts w:ascii="Times New Roman" w:hAnsi="Times New Roman" w:cs="B Nazanin"/>
          <w:b/>
          <w:bCs/>
          <w:sz w:val="24"/>
          <w:szCs w:val="28"/>
          <w:rtl/>
        </w:rPr>
        <w:t xml:space="preserve">9.0 برابری</w:t>
      </w:r>
      <w:r>
        <w:rPr>
          <w:rFonts w:ascii="Times New Roman" w:hAnsi="Times New Roman" w:cs="B Nazanin"/>
          <w:sz w:val="24"/>
          <w:szCs w:val="28"/>
          <w:rtl/>
        </w:rPr>
        <w:t xml:space="preserve"> نسبت به حالت پایه (1.37) — در حالی که وضعیت تنش آن ملایم می‌ماند (|σ*_θθ| ≤ 0.024). این ترکیب — GPLهای رسانا رو به منبع گرما و حفره‌های عایق رو به محیط — توصیهٔ طراحی این پایان‌نامه برای حفاظت حرارتی است و مطالعهٔ برهم‌کنشی که آن را شناسایی می‌کند در کارهای مرجع همتا ندارد.</w:t>
      </w:r>
    </w:p>
    <w:p>
      <w:pPr>
        <w:pStyle w:val="Heading1"/>
        <w:bidi/>
        <w:spacing w:after="120" w:line="360" w:lineRule="auto"/>
        <w:jc w:val="right"/>
      </w:pPr>
      <w:r>
        <w:rPr>
          <w:rFonts w:ascii="Times New Roman" w:hAnsi="Times New Roman" w:cs="B Nazanin"/>
          <w:b/>
          <w:bCs/>
          <w:sz w:val="28"/>
          <w:szCs w:val="32"/>
          <w:rtl/>
        </w:rPr>
        <w:t xml:space="preserve">۴-۱۰ اثر کوپلینگ ترمومکانیکی (مطالعهٔ I)</w:t>
      </w:r>
    </w:p>
    <w:p>
      <w:pPr>
        <w:bidi/>
        <w:jc w:val="center"/>
      </w:pPr>
      <w:r>
        <w:drawing>
          <wp:inline distT="0" distB="0" distL="0" distR="0">
            <wp:extent cx="5760000" cy="3652487"/>
            <wp:docPr id="110" name="I_coupling"/>
            <a:graphic xmlns:a="http://schemas.openxmlformats.org/drawingml/2006/main">
              <a:graphicData uri="http://schemas.openxmlformats.org/drawingml/2006/picture">
                <pic:pic xmlns:pic="http://schemas.openxmlformats.org/drawingml/2006/picture">
                  <pic:nvPicPr>
                    <pic:cNvPr id="110" name="I_coupling"/>
                    <pic:cNvPicPr/>
                  </pic:nvPicPr>
                  <pic:blipFill>
                    <a:blip r:embed="rId20"/>
                    <a:stretch>
                      <a:fillRect/>
                    </a:stretch>
                  </pic:blipFill>
                  <pic:spPr>
                    <a:xfrm>
                      <a:off x="0" y="0"/>
                      <a:ext cx="5760000" cy="365248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۴-x: اثر کوپلینگ ترمومکانیکی: مدل ناکوپله قلهٔ دما را 8.4٪ بیش‌برآورد می‌کند (فقدان میرایی ترموالاستیک موج).</w:t>
      </w:r>
    </w:p>
    <w:p>
      <w:pPr>
        <w:bidi/>
        <w:spacing w:after="120" w:line="360" w:lineRule="auto"/>
        <w:jc w:val="both"/>
      </w:pPr>
      <w:r>
        <w:rPr>
          <w:rFonts w:ascii="Times New Roman" w:hAnsi="Times New Roman" w:cs="B Nazanin"/>
          <w:sz w:val="24"/>
          <w:szCs w:val="28"/>
          <w:rtl/>
        </w:rPr>
        <w:t xml:space="preserve">غیرفعال کردن جملهٔ کوپلینگ (چشمهٔ نرخ اتساع در معادلهٔ انرژی) مسئله را به هدایت خالصِ محرکِ یک مسئلهٔ الاستیک تبدیل می‌کند. مدل ناکوپله قلهٔ دما را 8.4٪ (T*_max = 1.53 در برابر 1.41) و قلهٔ جابه‌جایی را 5.5٪ بیش‌برآورد می‌کند؛ زیرا کوپلینگ پیوسته بخشی از انرژی حرارتی را به کار مکانیکی تبدیل می‌کند — میرایی ترموالاستیک موج حرارتی. بیشترین اختلاف دقیقاً در جبهه‌های موج است؛ یعنی همان کمیت‌هایی که تحلیل کوتاه‌زمان به آن‌ها اهمیت می‌دهد؛ و همین، حمل دستگاه کاملاً کوپله را به‌رغم هزینه‌اش موجه می‌سازد.</w:t>
      </w:r>
    </w:p>
    <w:p>
      <w:pPr>
        <w:pStyle w:val="Heading1"/>
        <w:bidi/>
        <w:spacing w:after="120" w:line="360" w:lineRule="auto"/>
        <w:jc w:val="right"/>
      </w:pPr>
      <w:r>
        <w:rPr>
          <w:rFonts w:ascii="Times New Roman" w:hAnsi="Times New Roman" w:cs="B Nazanin"/>
          <w:b/>
          <w:bCs/>
          <w:sz w:val="28"/>
          <w:szCs w:val="32"/>
          <w:rtl/>
        </w:rPr>
        <w:t xml:space="preserve">۴-۱۱ اثر همرفت خارجی — عدد بایو (مطالعهٔ J)</w:t>
      </w:r>
    </w:p>
    <w:p>
      <w:pPr>
        <w:bidi/>
        <w:jc w:val="center"/>
      </w:pPr>
      <w:r>
        <w:drawing>
          <wp:inline distT="0" distB="0" distL="0" distR="0">
            <wp:extent cx="5760000" cy="3652487"/>
            <wp:docPr id="111" name="J_convection"/>
            <a:graphic xmlns:a="http://schemas.openxmlformats.org/drawingml/2006/main">
              <a:graphicData uri="http://schemas.openxmlformats.org/drawingml/2006/picture">
                <pic:pic xmlns:pic="http://schemas.openxmlformats.org/drawingml/2006/picture">
                  <pic:nvPicPr>
                    <pic:cNvPr id="111" name="J_convection"/>
                    <pic:cNvPicPr/>
                  </pic:nvPicPr>
                  <pic:blipFill>
                    <a:blip r:embed="rId21"/>
                    <a:stretch>
                      <a:fillRect/>
                    </a:stretch>
                  </pic:blipFill>
                  <pic:spPr>
                    <a:xfrm>
                      <a:off x="0" y="0"/>
                      <a:ext cx="5760000" cy="365248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۴-x: اثر ضریب همرفت خارجی h_c = 10، 100، 1000 W/m²K (بایو ≈ 0.004 تا 0.4) بر پاسخ گذرا.</w:t>
      </w:r>
    </w:p>
    <w:p>
      <w:pPr>
        <w:bidi/>
        <w:spacing w:after="120" w:line="360" w:lineRule="auto"/>
        <w:jc w:val="both"/>
      </w:pPr>
      <w:r>
        <w:rPr>
          <w:rFonts w:ascii="Times New Roman" w:hAnsi="Times New Roman" w:cs="B Nazanin"/>
          <w:sz w:val="24"/>
          <w:szCs w:val="28"/>
          <w:rtl/>
        </w:rPr>
        <w:t xml:space="preserve">افزایش h_c از 10 به 100 و 1000 W/m²K (عدد بایو Bi = h_c h/k̄ از 4×10⁻³ تا 0.4) سطح خارجی را از تقریباً آدیاباتیک به یک چاه حرارتی مؤثر تبدیل می‌کند: دمای نهایی سطح خارجی از T* = 1.37 به 1.34 و 1.03 می‌رسد، قلهٔ نقطهٔ میانی از 1.41 به 1.39 و 1.21، و تنش محیطی نهایی سطح داخلی از 0.196 به 0.078 آزاد می‌شود؛ چرا که اختلاف دمای درون‌جداری — نه تراز مطلق دما — تنش حرارتی را تعیین می‌کند. پاسخ برای Bi کمتر از حدود 10⁻² حساسیتی ندارد و بالای Bi ≈ 0.1 به‌شدت همرفت‌کنترل است؛ دو رژیمی که طراح باید از هم تمیز دهد.</w:t>
      </w:r>
    </w:p>
    <w:p>
      <w:pPr>
        <w:pStyle w:val="Heading1"/>
        <w:bidi/>
        <w:spacing w:after="120" w:line="360" w:lineRule="auto"/>
        <w:jc w:val="right"/>
      </w:pPr>
      <w:r>
        <w:rPr>
          <w:rFonts w:ascii="Times New Roman" w:hAnsi="Times New Roman" w:cs="B Nazanin"/>
          <w:b/>
          <w:bCs/>
          <w:sz w:val="28"/>
          <w:szCs w:val="32"/>
          <w:rtl/>
        </w:rPr>
        <w:t xml:space="preserve">۴-۱۲ اثر ضخامت جدار (مطالعهٔ K)</w:t>
      </w:r>
    </w:p>
    <w:p>
      <w:pPr>
        <w:bidi/>
        <w:jc w:val="center"/>
      </w:pPr>
      <w:r>
        <w:drawing>
          <wp:inline distT="0" distB="0" distL="0" distR="0">
            <wp:extent cx="5760000" cy="3652487"/>
            <wp:docPr id="112" name="K_thickness"/>
            <a:graphic xmlns:a="http://schemas.openxmlformats.org/drawingml/2006/main">
              <a:graphicData uri="http://schemas.openxmlformats.org/drawingml/2006/picture">
                <pic:pic xmlns:pic="http://schemas.openxmlformats.org/drawingml/2006/picture">
                  <pic:nvPicPr>
                    <pic:cNvPr id="112" name="K_thickness"/>
                    <pic:cNvPicPr/>
                  </pic:nvPicPr>
                  <pic:blipFill>
                    <a:blip r:embed="rId22"/>
                    <a:stretch>
                      <a:fillRect/>
                    </a:stretch>
                  </pic:blipFill>
                  <pic:spPr>
                    <a:xfrm>
                      <a:off x="0" y="0"/>
                      <a:ext cx="5760000" cy="365248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۴-x: اثر ضخامت جدار (R_o = 0.15، 0.20، 0.30 m با R_i = 0.1 m ثابت): جدار نازک فراجهش موج و جدار ضخیم تنش محیطی فشاری داخلی را بیشینه می‌کند.</w:t>
      </w:r>
    </w:p>
    <w:p>
      <w:pPr>
        <w:bidi/>
        <w:spacing w:after="120" w:line="360" w:lineRule="auto"/>
        <w:jc w:val="both"/>
      </w:pPr>
      <w:r>
        <w:rPr>
          <w:rFonts w:ascii="Times New Roman" w:hAnsi="Times New Roman" w:cs="B Nazanin"/>
          <w:sz w:val="24"/>
          <w:szCs w:val="28"/>
          <w:rtl/>
        </w:rPr>
        <w:t xml:space="preserve">با R_i ثابت، جدارهایی با h = 0.05، 0.10 و 0.20 m مقایسه می‌شوند (مقیاس زمان برای همه با R_o = 0.2 پایه). جدار نازک به‌سرعت و مکرراً توسط موج حرارتی پیموده می‌شود: نقطهٔ میانی آن بزرگ‌ترین فراجهش کل کارزار را می‌بیند (T*_max = 1.78 در Fo = 0.45) اما سریع‌تر هم تخلیه می‌شود (مقدار نهایی 0.77). جدار ضخیم عکس آن است: در این بازه موج حتی یک گذر کامل هم ندارد (T*_max = 0.51) و ناحیهٔ بیرونی سرد می‌ماند، در حالی که تنش محیطی در سطح داخلی به‌شدت فشاری می‌شود (σ*_θθ,min = −0.28)؛ زیرا نوار داخلی گرم‌شده به تودهٔ بیرونی سرد و سفت فشار می‌آورد. بنابراین ضخامت، اهرم هندسیِ مبادله میان فراجهش قله (نازک) و شدت تنش (ضخیم) است.</w:t>
      </w:r>
    </w:p>
    <w:p>
      <w:pPr>
        <w:pStyle w:val="Heading1"/>
        <w:bidi/>
        <w:spacing w:after="120" w:line="360" w:lineRule="auto"/>
        <w:jc w:val="right"/>
      </w:pPr>
      <w:r>
        <w:rPr>
          <w:rFonts w:ascii="Times New Roman" w:hAnsi="Times New Roman" w:cs="B Nazanin"/>
          <w:b/>
          <w:bCs/>
          <w:sz w:val="28"/>
          <w:szCs w:val="32"/>
          <w:rtl/>
        </w:rPr>
        <w:t xml:space="preserve">۴-۱۳ اثر تعداد لایه‌ها (مطالعهٔ L)</w:t>
      </w:r>
    </w:p>
    <w:p>
      <w:pPr>
        <w:bidi/>
        <w:jc w:val="center"/>
      </w:pPr>
      <w:r>
        <w:drawing>
          <wp:inline distT="0" distB="0" distL="0" distR="0">
            <wp:extent cx="5760000" cy="3652487"/>
            <wp:docPr id="113" name="L_layers"/>
            <a:graphic xmlns:a="http://schemas.openxmlformats.org/drawingml/2006/main">
              <a:graphicData uri="http://schemas.openxmlformats.org/drawingml/2006/picture">
                <pic:pic xmlns:pic="http://schemas.openxmlformats.org/drawingml/2006/picture">
                  <pic:nvPicPr>
                    <pic:cNvPr id="113" name="L_layers"/>
                    <pic:cNvPicPr/>
                  </pic:nvPicPr>
                  <pic:blipFill>
                    <a:blip r:embed="rId23"/>
                    <a:stretch>
                      <a:fillRect/>
                    </a:stretch>
                  </pic:blipFill>
                  <pic:spPr>
                    <a:xfrm>
                      <a:off x="0" y="0"/>
                      <a:ext cx="5760000" cy="365248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۴-x: اثر تعداد لایه‌ها N_L = 3، 5، 8: تاریخچه‌های کلی همگرا هستند (تغییر ≤1.6٪)؛ تعداد لایه پله‌های فصل‌مشترکی پروفیل تنش را ریزتر می‌کند.</w:t>
      </w:r>
    </w:p>
    <w:p>
      <w:pPr>
        <w:bidi/>
        <w:spacing w:after="120" w:line="360" w:lineRule="auto"/>
        <w:jc w:val="both"/>
      </w:pPr>
      <w:r>
        <w:rPr>
          <w:rFonts w:ascii="Times New Roman" w:hAnsi="Times New Roman" w:cs="B Nazanin"/>
          <w:sz w:val="24"/>
          <w:szCs w:val="28"/>
          <w:rtl/>
        </w:rPr>
        <w:t xml:space="preserve">بازسازی همان جدار درجه‌بندی‌شده با N_L = 3، 5 و 8 لایه قلهٔ نقطهٔ میانی را حداکثر 1.6٪ تغییر می‌دهد (1.435 / 1.412 / 1.428) و تاریخچه‌ها عملاً از هم تمیزناپذیرند؛ تعداد لایه عمدتاً پله‌های پروفیل تنش محیطی در فصل‌مشترک‌ها را تیزتر می‌کند. مقدار N_L = 5 به‌عنوان مصالحهٔ استاندارد میان وفاداری به درجه‌بندی و هزینه، سازگار با مطالعهٔ همگرایی بخش صحت‌سنجی، حفظ می‌شود.</w:t>
      </w:r>
    </w:p>
    <w:p>
      <w:pPr>
        <w:pStyle w:val="Heading1"/>
        <w:bidi/>
        <w:spacing w:after="120" w:line="360" w:lineRule="auto"/>
        <w:jc w:val="right"/>
      </w:pPr>
      <w:r>
        <w:rPr>
          <w:rFonts w:ascii="Times New Roman" w:hAnsi="Times New Roman" w:cs="B Nazanin"/>
          <w:b/>
          <w:bCs/>
          <w:sz w:val="28"/>
          <w:szCs w:val="32"/>
          <w:rtl/>
        </w:rPr>
        <w:t xml:space="preserve">۴-۱۴ پاسخ به شوک حرارتی گاوسی (مطالعهٔ M)</w:t>
      </w:r>
    </w:p>
    <w:p>
      <w:pPr>
        <w:bidi/>
        <w:jc w:val="center"/>
      </w:pPr>
      <w:r>
        <w:drawing>
          <wp:inline distT="0" distB="0" distL="0" distR="0">
            <wp:extent cx="5760000" cy="3652487"/>
            <wp:docPr id="114" name="M_gauss_shock"/>
            <a:graphic xmlns:a="http://schemas.openxmlformats.org/drawingml/2006/main">
              <a:graphicData uri="http://schemas.openxmlformats.org/drawingml/2006/picture">
                <pic:pic xmlns:pic="http://schemas.openxmlformats.org/drawingml/2006/picture">
                  <pic:nvPicPr>
                    <pic:cNvPr id="114" name="M_gauss_shock"/>
                    <pic:cNvPicPr/>
                  </pic:nvPicPr>
                  <pic:blipFill>
                    <a:blip r:embed="rId24"/>
                    <a:stretch>
                      <a:fillRect/>
                    </a:stretch>
                  </pic:blipFill>
                  <pic:spPr>
                    <a:xfrm>
                      <a:off x="0" y="0"/>
                      <a:ext cx="5760000" cy="365248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۴-x: پاسخ به پالس حرارتی گاوسی در هدایت LS و فوریه: بستهٔ موج LS دیرتر، دوبرابر قوی‌تر می‌رسد و دامنهٔ تنش حدود ۵۰ برابر بزرگ‌تر است.</w:t>
      </w:r>
    </w:p>
    <w:p>
      <w:pPr>
        <w:bidi/>
        <w:spacing w:after="120" w:line="360" w:lineRule="auto"/>
        <w:jc w:val="both"/>
      </w:pPr>
      <w:r>
        <w:rPr>
          <w:rFonts w:ascii="Times New Roman" w:hAnsi="Times New Roman" w:cs="B Nazanin"/>
          <w:sz w:val="24"/>
          <w:szCs w:val="28"/>
          <w:rtl/>
        </w:rPr>
        <w:t xml:space="preserve">جایگزینی رمپ پایدار با یک پالس گاوسی کوتاهِ دمای سطح داخلی، تفاوت انتقال موجی و نفوذی را جدا می‌کند. در هدایت فوریه پالس به میانهٔ ضخامت پخش‌شده و ضعیف می‌رسد (T*_max = 0.33 در Fo = 0.12) و در پایان عملاً از بین رفته است (T* = 0.004). در لرد–شولمن پالس به‌صورت بستهٔ موج منسجم سفر می‌کند: دیرتر می‌رسد (Fo = 0.27)، دو برابر قوی‌تر است (T*_max = 0.66) و نوسان‌های ماندگاری از خود به جا می‌گذارد (T* نهایی 0.070). پاسخ تنش حتی تفاوت بیشتری دارد: دامنهٔ تنش محیطی LS (σ* از −0.040 تا +0.172) حدود 50 برابر فوریه است — در بارهای ضربه‌ای، نظریهٔ کلاسیک پیامدهای مکانیکی شوک را بیش از یک مرتبهٔ بزرگی کم‌برآورد می‌کند؛ قوی‌ترین استدلال منفرد این پایان‌نامه به سود نظریهٔ تعمیم‌یافته.</w:t>
      </w:r>
    </w:p>
    <w:p>
      <w:pPr>
        <w:pStyle w:val="Heading1"/>
        <w:bidi/>
        <w:spacing w:after="120" w:line="360" w:lineRule="auto"/>
        <w:jc w:val="right"/>
      </w:pPr>
      <w:r>
        <w:rPr>
          <w:rFonts w:ascii="Times New Roman" w:hAnsi="Times New Roman" w:cs="B Nazanin"/>
          <w:b/>
          <w:bCs/>
          <w:sz w:val="28"/>
          <w:szCs w:val="32"/>
          <w:rtl/>
        </w:rPr>
        <w:t xml:space="preserve">۴-۱۵ گسترش — مقایسهٔ روش‌های انتگرال‌گیری زمانی (T1)</w:t>
      </w:r>
    </w:p>
    <w:p>
      <w:pPr>
        <w:bidi/>
        <w:spacing w:after="120" w:line="360" w:lineRule="auto"/>
        <w:jc w:val="both"/>
      </w:pPr>
      <w:r>
        <w:rPr>
          <w:rFonts w:ascii="Times New Roman" w:hAnsi="Times New Roman" w:cs="B Nazanin"/>
          <w:sz w:val="24"/>
          <w:szCs w:val="28"/>
          <w:rtl/>
        </w:rPr>
        <w:t xml:space="preserve">برای جایابی طرح نیومارکِ این پایان‌نامه، پنج انتگرال‌گیر جایگزین روی همان مسئلهٔ محک نیمه‌گسستهٔ هدایت (با حل دقیق معلوم؛ خطا = بیشینهٔ خطای دما در t = 10 s) اجرا شدند:</w:t>
      </w:r>
    </w:p>
    <w:p>
      <w:pPr>
        <w:bidi/>
        <w:spacing w:after="120" w:line="360" w:lineRule="auto"/>
        <w:jc w:val="both"/>
      </w:pPr>
      <w:r>
        <w:rPr>
          <w:rFonts w:ascii="Times New Roman" w:hAnsi="Times New Roman" w:cs="B Nazanin"/>
          <w:b/>
          <w:bCs/>
          <w:sz w:val="24"/>
          <w:szCs w:val="28"/>
          <w:rtl/>
        </w:rPr>
        <w:t xml:space="preserve">جدول ۴-۱۵ — انتگرال‌گیرهای زمانی روی دستگاه فضایی یکسان.</w:t>
      </w:r>
    </w:p>
    <w:tbl>
      <w:tblPr>
        <w:bidiVisual/>
        <w:tblW w:w="0" w:type="auto"/>
        <w:jc w:val="center"/>
        <w:tblBorders>
          <w:top w:val="single" w:sz="6" w:color="000000"/>
          <w:left w:val="single" w:sz="6" w:color="000000"/>
          <w:bottom w:val="single" w:sz="6" w:color="000000"/>
          <w:right w:val="single" w:sz="6" w:color="000000"/>
          <w:insideH w:val="single" w:sz="4" w:color="808080"/>
          <w:insideV w:val="single" w:sz="4" w:color="808080"/>
        </w:tblBorders>
        <w:tblCellMar>
          <w:left w:w="85" w:type="dxa"/>
          <w:right w:w="85" w:type="dxa"/>
        </w:tblCellMar>
      </w:tblPr>
      <w:tr>
        <w:tc>
          <w:tcPr>
            <w:tcW w:w="0" w:type="auto"/>
            <w:vAlign w:val="center"/>
          </w:tcPr>
          <w:p>
            <w:pPr>
              <w:bidi/>
              <w:spacing w:after="120" w:line="360" w:lineRule="auto"/>
              <w:jc w:val="center"/>
            </w:pPr>
            <w:r>
              <w:rPr>
                <w:rFonts w:ascii="Times New Roman" w:hAnsi="Times New Roman" w:cs="B Nazanin"/>
                <w:b/>
                <w:bCs/>
                <w:sz w:val="20"/>
                <w:szCs w:val="24"/>
                <w:rtl/>
              </w:rPr>
              <w:t xml:space="preserve">روش</w:t>
            </w:r>
          </w:p>
        </w:tc>
        <w:tc>
          <w:tcPr>
            <w:tcW w:w="0" w:type="auto"/>
            <w:vAlign w:val="center"/>
          </w:tcPr>
          <w:p>
            <w:pPr>
              <w:bidi/>
              <w:spacing w:after="120" w:line="360" w:lineRule="auto"/>
              <w:jc w:val="center"/>
            </w:pPr>
            <w:r>
              <w:rPr>
                <w:rFonts w:ascii="Times New Roman" w:hAnsi="Times New Roman" w:cs="B Nazanin"/>
                <w:b/>
                <w:bCs/>
                <w:sz w:val="20"/>
                <w:szCs w:val="24"/>
                <w:rtl/>
              </w:rPr>
              <w:t xml:space="preserve">بیشینهٔ خطا (K)</w:t>
            </w:r>
          </w:p>
        </w:tc>
        <w:tc>
          <w:tcPr>
            <w:tcW w:w="0" w:type="auto"/>
            <w:vAlign w:val="center"/>
          </w:tcPr>
          <w:p>
            <w:pPr>
              <w:bidi/>
              <w:spacing w:after="120" w:line="360" w:lineRule="auto"/>
              <w:jc w:val="center"/>
            </w:pPr>
            <w:r>
              <w:rPr>
                <w:rFonts w:ascii="Times New Roman" w:hAnsi="Times New Roman" w:cs="B Nazanin"/>
                <w:b/>
                <w:bCs/>
                <w:sz w:val="20"/>
                <w:szCs w:val="24"/>
                <w:rtl/>
              </w:rPr>
              <w:t xml:space="preserve">زمان CPU (s)</w:t>
            </w:r>
          </w:p>
        </w:tc>
      </w:tr>
      <w:tr>
        <w:tc>
          <w:tcPr>
            <w:tcW w:w="0" w:type="auto"/>
            <w:vAlign w:val="center"/>
          </w:tcPr>
          <w:p>
            <w:pPr>
              <w:bidi/>
              <w:spacing w:after="120" w:line="360" w:lineRule="auto"/>
              <w:jc w:val="center"/>
            </w:pPr>
            <w:r>
              <w:rPr>
                <w:rFonts w:ascii="Times New Roman" w:hAnsi="Times New Roman" w:cs="B Nazanin"/>
                <w:sz w:val="20"/>
                <w:szCs w:val="24"/>
                <w:rtl/>
              </w:rPr>
              <w:t xml:space="preserve">نیومارک (δ=½، β=¼)</w:t>
            </w:r>
          </w:p>
        </w:tc>
        <w:tc>
          <w:tcPr>
            <w:tcW w:w="0" w:type="auto"/>
            <w:vAlign w:val="center"/>
          </w:tcPr>
          <w:p>
            <w:pPr>
              <w:bidi/>
              <w:spacing w:after="120" w:line="360" w:lineRule="auto"/>
              <w:jc w:val="center"/>
            </w:pPr>
            <w:r>
              <w:rPr>
                <w:rFonts w:ascii="Times New Roman" w:hAnsi="Times New Roman" w:cs="B Nazanin"/>
                <w:sz w:val="20"/>
                <w:szCs w:val="24"/>
              </w:rPr>
              <w:t xml:space="preserve">0.0032</w:t>
            </w:r>
          </w:p>
        </w:tc>
        <w:tc>
          <w:tcPr>
            <w:tcW w:w="0" w:type="auto"/>
            <w:vAlign w:val="center"/>
          </w:tcPr>
          <w:p>
            <w:pPr>
              <w:bidi/>
              <w:spacing w:after="120" w:line="360" w:lineRule="auto"/>
              <w:jc w:val="center"/>
            </w:pPr>
            <w:r>
              <w:rPr>
                <w:rFonts w:ascii="Times New Roman" w:hAnsi="Times New Roman" w:cs="B Nazanin"/>
                <w:sz w:val="20"/>
                <w:szCs w:val="24"/>
              </w:rPr>
              <w:t xml:space="preserve">0.33</w:t>
            </w:r>
          </w:p>
        </w:tc>
      </w:tr>
      <w:tr>
        <w:tc>
          <w:tcPr>
            <w:tcW w:w="0" w:type="auto"/>
            <w:vAlign w:val="center"/>
          </w:tcPr>
          <w:p>
            <w:pPr>
              <w:bidi/>
              <w:spacing w:after="120" w:line="360" w:lineRule="auto"/>
              <w:jc w:val="center"/>
            </w:pPr>
            <w:r>
              <w:rPr>
                <w:rFonts w:ascii="Times New Roman" w:hAnsi="Times New Roman" w:cs="B Nazanin"/>
                <w:sz w:val="20"/>
                <w:szCs w:val="24"/>
                <w:rtl/>
              </w:rPr>
              <w:t xml:space="preserve">ویلسون-θ (θ=1.4)</w:t>
            </w:r>
          </w:p>
        </w:tc>
        <w:tc>
          <w:tcPr>
            <w:tcW w:w="0" w:type="auto"/>
            <w:vAlign w:val="center"/>
          </w:tcPr>
          <w:p>
            <w:pPr>
              <w:bidi/>
              <w:spacing w:after="120" w:line="360" w:lineRule="auto"/>
              <w:jc w:val="center"/>
            </w:pPr>
            <w:r>
              <w:rPr>
                <w:rFonts w:ascii="Times New Roman" w:hAnsi="Times New Roman" w:cs="B Nazanin"/>
                <w:sz w:val="20"/>
                <w:szCs w:val="24"/>
              </w:rPr>
              <w:t xml:space="preserve">0.0164</w:t>
            </w:r>
          </w:p>
        </w:tc>
        <w:tc>
          <w:tcPr>
            <w:tcW w:w="0" w:type="auto"/>
            <w:vAlign w:val="center"/>
          </w:tcPr>
          <w:p>
            <w:pPr>
              <w:bidi/>
              <w:spacing w:after="120" w:line="360" w:lineRule="auto"/>
              <w:jc w:val="center"/>
            </w:pPr>
            <w:r>
              <w:rPr>
                <w:rFonts w:ascii="Times New Roman" w:hAnsi="Times New Roman" w:cs="B Nazanin"/>
                <w:sz w:val="20"/>
                <w:szCs w:val="24"/>
              </w:rPr>
              <w:t xml:space="preserve">0.19</w:t>
            </w:r>
          </w:p>
        </w:tc>
      </w:tr>
      <w:tr>
        <w:tc>
          <w:tcPr>
            <w:tcW w:w="0" w:type="auto"/>
            <w:vAlign w:val="center"/>
          </w:tcPr>
          <w:p>
            <w:pPr>
              <w:bidi/>
              <w:spacing w:after="120" w:line="360" w:lineRule="auto"/>
              <w:jc w:val="center"/>
            </w:pPr>
            <w:r>
              <w:rPr>
                <w:rFonts w:ascii="Times New Roman" w:hAnsi="Times New Roman" w:cs="B Nazanin"/>
                <w:sz w:val="20"/>
                <w:szCs w:val="24"/>
                <w:rtl/>
              </w:rPr>
              <w:t xml:space="preserve">هوبولت</w:t>
            </w:r>
          </w:p>
        </w:tc>
        <w:tc>
          <w:tcPr>
            <w:tcW w:w="0" w:type="auto"/>
            <w:vAlign w:val="center"/>
          </w:tcPr>
          <w:p>
            <w:pPr>
              <w:bidi/>
              <w:spacing w:after="120" w:line="360" w:lineRule="auto"/>
              <w:jc w:val="center"/>
            </w:pPr>
            <w:r>
              <w:rPr>
                <w:rFonts w:ascii="Times New Roman" w:hAnsi="Times New Roman" w:cs="B Nazanin"/>
                <w:sz w:val="20"/>
                <w:szCs w:val="24"/>
              </w:rPr>
              <w:t xml:space="preserve">0.0025</w:t>
            </w:r>
          </w:p>
        </w:tc>
        <w:tc>
          <w:tcPr>
            <w:tcW w:w="0" w:type="auto"/>
            <w:vAlign w:val="center"/>
          </w:tcPr>
          <w:p>
            <w:pPr>
              <w:bidi/>
              <w:spacing w:after="120" w:line="360" w:lineRule="auto"/>
              <w:jc w:val="center"/>
            </w:pPr>
            <w:r>
              <w:rPr>
                <w:rFonts w:ascii="Times New Roman" w:hAnsi="Times New Roman" w:cs="B Nazanin"/>
                <w:sz w:val="20"/>
                <w:szCs w:val="24"/>
              </w:rPr>
              <w:t xml:space="preserve">0.24</w:t>
            </w:r>
          </w:p>
        </w:tc>
      </w:tr>
      <w:tr>
        <w:tc>
          <w:tcPr>
            <w:tcW w:w="0" w:type="auto"/>
            <w:vAlign w:val="center"/>
          </w:tcPr>
          <w:p>
            <w:pPr>
              <w:bidi/>
              <w:spacing w:after="120" w:line="360" w:lineRule="auto"/>
              <w:jc w:val="center"/>
            </w:pPr>
            <w:r>
              <w:rPr>
                <w:rFonts w:ascii="Times New Roman" w:hAnsi="Times New Roman" w:cs="B Nazanin"/>
                <w:sz w:val="20"/>
                <w:szCs w:val="24"/>
              </w:rPr>
              <w:t xml:space="preserve">HHT-α (α=−0.1)</w:t>
            </w:r>
          </w:p>
        </w:tc>
        <w:tc>
          <w:tcPr>
            <w:tcW w:w="0" w:type="auto"/>
            <w:vAlign w:val="center"/>
          </w:tcPr>
          <w:p>
            <w:pPr>
              <w:bidi/>
              <w:spacing w:after="120" w:line="360" w:lineRule="auto"/>
              <w:jc w:val="center"/>
            </w:pPr>
            <w:r>
              <w:rPr>
                <w:rFonts w:ascii="Times New Roman" w:hAnsi="Times New Roman" w:cs="B Nazanin"/>
                <w:sz w:val="20"/>
                <w:szCs w:val="24"/>
              </w:rPr>
              <w:t xml:space="preserve">0.0033</w:t>
            </w:r>
          </w:p>
        </w:tc>
        <w:tc>
          <w:tcPr>
            <w:tcW w:w="0" w:type="auto"/>
            <w:vAlign w:val="center"/>
          </w:tcPr>
          <w:p>
            <w:pPr>
              <w:bidi/>
              <w:spacing w:after="120" w:line="360" w:lineRule="auto"/>
              <w:jc w:val="center"/>
            </w:pPr>
            <w:r>
              <w:rPr>
                <w:rFonts w:ascii="Times New Roman" w:hAnsi="Times New Roman" w:cs="B Nazanin"/>
                <w:sz w:val="20"/>
                <w:szCs w:val="24"/>
              </w:rPr>
              <w:t xml:space="preserve">0.29</w:t>
            </w:r>
          </w:p>
        </w:tc>
      </w:tr>
      <w:tr>
        <w:tc>
          <w:tcPr>
            <w:tcW w:w="0" w:type="auto"/>
            <w:vAlign w:val="center"/>
          </w:tcPr>
          <w:p>
            <w:pPr>
              <w:bidi/>
              <w:spacing w:after="120" w:line="360" w:lineRule="auto"/>
              <w:jc w:val="center"/>
            </w:pPr>
            <w:r>
              <w:rPr>
                <w:rFonts w:ascii="Times New Roman" w:hAnsi="Times New Roman" w:cs="B Nazanin"/>
                <w:sz w:val="20"/>
                <w:szCs w:val="24"/>
                <w:rtl/>
              </w:rPr>
              <w:t xml:space="preserve">ode15s (BDF تطبیقی)</w:t>
            </w:r>
          </w:p>
        </w:tc>
        <w:tc>
          <w:tcPr>
            <w:tcW w:w="0" w:type="auto"/>
            <w:vAlign w:val="center"/>
          </w:tcPr>
          <w:p>
            <w:pPr>
              <w:bidi/>
              <w:spacing w:after="120" w:line="360" w:lineRule="auto"/>
              <w:jc w:val="center"/>
            </w:pPr>
            <w:r>
              <w:rPr>
                <w:rFonts w:ascii="Times New Roman" w:hAnsi="Times New Roman" w:cs="B Nazanin"/>
                <w:sz w:val="20"/>
                <w:szCs w:val="24"/>
              </w:rPr>
              <w:t xml:space="preserve">0.0003</w:t>
            </w:r>
          </w:p>
        </w:tc>
        <w:tc>
          <w:tcPr>
            <w:tcW w:w="0" w:type="auto"/>
            <w:vAlign w:val="center"/>
          </w:tcPr>
          <w:p>
            <w:pPr>
              <w:bidi/>
              <w:spacing w:after="120" w:line="360" w:lineRule="auto"/>
              <w:jc w:val="center"/>
            </w:pPr>
            <w:r>
              <w:rPr>
                <w:rFonts w:ascii="Times New Roman" w:hAnsi="Times New Roman" w:cs="B Nazanin"/>
                <w:sz w:val="20"/>
                <w:szCs w:val="24"/>
              </w:rPr>
              <w:t xml:space="preserve">2.57</w:t>
            </w:r>
          </w:p>
        </w:tc>
      </w:tr>
      <w:tr>
        <w:tc>
          <w:tcPr>
            <w:tcW w:w="0" w:type="auto"/>
            <w:vAlign w:val="center"/>
          </w:tcPr>
          <w:p>
            <w:pPr>
              <w:bidi/>
              <w:spacing w:after="120" w:line="360" w:lineRule="auto"/>
              <w:jc w:val="center"/>
            </w:pPr>
            <w:r>
              <w:rPr>
                <w:rFonts w:ascii="Times New Roman" w:hAnsi="Times New Roman" w:cs="B Nazanin"/>
                <w:sz w:val="20"/>
                <w:szCs w:val="24"/>
                <w:rtl/>
              </w:rPr>
              <w:t xml:space="preserve">لاپلاس–دوربین (زیرسیستم حرارتی)</w:t>
            </w:r>
          </w:p>
        </w:tc>
        <w:tc>
          <w:tcPr>
            <w:tcW w:w="0" w:type="auto"/>
            <w:vAlign w:val="center"/>
          </w:tcPr>
          <w:p>
            <w:pPr>
              <w:bidi/>
              <w:spacing w:after="120" w:line="360" w:lineRule="auto"/>
              <w:jc w:val="center"/>
            </w:pPr>
            <w:r>
              <w:rPr>
                <w:rFonts w:ascii="Times New Roman" w:hAnsi="Times New Roman" w:cs="B Nazanin"/>
                <w:sz w:val="20"/>
                <w:szCs w:val="24"/>
              </w:rPr>
              <w:t xml:space="preserve">0.137</w:t>
            </w:r>
          </w:p>
        </w:tc>
        <w:tc>
          <w:tcPr>
            <w:tcW w:w="0" w:type="auto"/>
            <w:vAlign w:val="center"/>
          </w:tcPr>
          <w:p>
            <w:pPr>
              <w:bidi/>
              <w:spacing w:after="120" w:line="360" w:lineRule="auto"/>
              <w:jc w:val="center"/>
            </w:pPr>
            <w:r>
              <w:rPr>
                <w:rFonts w:ascii="Times New Roman" w:hAnsi="Times New Roman" w:cs="B Nazanin"/>
                <w:sz w:val="20"/>
                <w:szCs w:val="24"/>
              </w:rPr>
              <w:t xml:space="preserve">193</w:t>
            </w:r>
          </w:p>
        </w:tc>
      </w:tr>
    </w:tbl>
    <w:p>
      <w:pPr>
        <w:bidi/>
        <w:spacing w:after="120" w:line="360" w:lineRule="auto"/>
        <w:jc w:val="both"/>
      </w:pPr>
    </w:p>
    <w:p>
      <w:pPr>
        <w:bidi/>
        <w:spacing w:after="120" w:line="360" w:lineRule="auto"/>
        <w:jc w:val="both"/>
      </w:pPr>
      <w:r>
        <w:rPr>
          <w:rFonts w:ascii="Times New Roman" w:hAnsi="Times New Roman" w:cs="B Nazanin"/>
          <w:sz w:val="24"/>
          <w:szCs w:val="28"/>
          <w:rtl/>
        </w:rPr>
        <w:t xml:space="preserve">نیومارک، هوبولت و HHT-α در گام برابر هم‌دقت‌اند؛ ویلسون-θ در ازای اتلاف بیشترش خطای 5 برابر می‌پذیرد؛ حل‌گر سختِ تطبیقی 10 برابر دقیق‌تر ولی 8 برابر گران‌تر است؛ و مسیر تبدیل لاپلاس سه مرتبهٔ بزرگی کندتر است و در ضمن *بر دستگاه کاملِ کوپله اعمال‌شدنی نیست* — قطب‌های الاستیک نامیرای عملگر کوپله روی کانتور وارون‌سازی می‌افتند؛ و همین است که در مراجع، روش‌های تبدیلی فقط بر زیرسیستم‌های حرارتی اعمال می‌شوند. این مقایسهٔ اندازه‌گیری‌شده انتخاب نیومارک برای همهٔ اجراهای اصلی را موجه می‌کند.</w:t>
      </w:r>
    </w:p>
    <w:p>
      <w:pPr>
        <w:pStyle w:val="Heading1"/>
        <w:bidi/>
        <w:spacing w:after="120" w:line="360" w:lineRule="auto"/>
        <w:jc w:val="right"/>
      </w:pPr>
      <w:r>
        <w:rPr>
          <w:rFonts w:ascii="Times New Roman" w:hAnsi="Times New Roman" w:cs="B Nazanin"/>
          <w:b/>
          <w:bCs/>
          <w:sz w:val="28"/>
          <w:szCs w:val="32"/>
          <w:rtl/>
        </w:rPr>
        <w:t xml:space="preserve">۴-۱۶ گسترش — مقایسهٔ گسسته‌سازی‌های فضایی (T2)</w:t>
      </w:r>
    </w:p>
    <w:p>
      <w:pPr>
        <w:bidi/>
        <w:jc w:val="center"/>
      </w:pPr>
      <w:r>
        <w:drawing>
          <wp:inline distT="0" distB="0" distL="0" distR="0">
            <wp:extent cx="5760000" cy="4134536"/>
            <wp:docPr id="115" name="T2_spatial_convergence"/>
            <a:graphic xmlns:a="http://schemas.openxmlformats.org/drawingml/2006/main">
              <a:graphicData uri="http://schemas.openxmlformats.org/drawingml/2006/picture">
                <pic:pic xmlns:pic="http://schemas.openxmlformats.org/drawingml/2006/picture">
                  <pic:nvPicPr>
                    <pic:cNvPr id="115" name="T2_spatial_convergence"/>
                    <pic:cNvPicPr/>
                  </pic:nvPicPr>
                  <pic:blipFill>
                    <a:blip r:embed="rId25"/>
                    <a:stretch>
                      <a:fillRect/>
                    </a:stretch>
                  </pic:blipFill>
                  <pic:spPr>
                    <a:xfrm>
                      <a:off x="0" y="0"/>
                      <a:ext cx="5760000" cy="4134536"/>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۴-x: همگرایی فضایی DQM (چبیشف/یکنواخت)، FDM (مرتبه‌دو) و FEM (خطی/درجه‌دو) در محک هدایت گذرا: نقاط لازم برای رسیدن به کف خطای گام زمانی: N ≈ 9–11 (DQM)، 21 (FEM درجه‌دو)، 161 (FEM خطی/FDM).</w:t>
      </w:r>
    </w:p>
    <w:p>
      <w:pPr>
        <w:bidi/>
        <w:spacing w:after="120" w:line="360" w:lineRule="auto"/>
        <w:jc w:val="both"/>
      </w:pPr>
      <w:r>
        <w:rPr>
          <w:rFonts w:ascii="Times New Roman" w:hAnsi="Times New Roman" w:cs="B Nazanin"/>
          <w:sz w:val="24"/>
          <w:szCs w:val="28"/>
          <w:rtl/>
        </w:rPr>
        <w:t xml:space="preserve">روی مسئلهٔ هدایت گذرا با حل دقیق سری بسل، چهار گسسته‌سازی با پیمایش نیومارک یکسان تا کف خطای گام زمانی رانده شدند. تعداد نقاط شعاعی لازم برای رسیدن به آن کف چنین است: </w:t>
      </w:r>
      <w:r>
        <w:rPr>
          <w:rFonts w:ascii="Times New Roman" w:hAnsi="Times New Roman" w:cs="B Nazanin"/>
          <w:b/>
          <w:bCs/>
          <w:sz w:val="24"/>
          <w:szCs w:val="28"/>
          <w:rtl/>
        </w:rPr>
        <w:t xml:space="preserve">DQM (چبیشف یا یکنواخت) N ≈ 9–11؛ اجزای محدود درجه‌دو N ≈ 21؛ اجزای محدود خطی و تفاضل محدود مرتبه‌دو N ≈ 161</w:t>
      </w:r>
      <w:r>
        <w:rPr>
          <w:rFonts w:ascii="Times New Roman" w:hAnsi="Times New Roman" w:cs="B Nazanin"/>
          <w:sz w:val="24"/>
          <w:szCs w:val="28"/>
          <w:rtl/>
        </w:rPr>
        <w:t xml:space="preserve">. منحنی‌های FEM خطی و FDM با شیب −2 بر هم منطبق‌اند؛ FEM درجه‌دو (گلرکین–بوبنوف با ماتریس‌های سازگار) در هر گام ریزسازی تقریباً یک مرتبه سود می‌کند؛ و خطای DQM تا رسیدن به کف زمانی به‌طور شبه‌نمایی سقوط می‌کند. در دقت برابر، دستگاه DQM در یک بُعد 15 برابر کوچک‌تر است — و در صفحهٔ (r,z) این نسبت مجذور می‌شود — که توجیه کمّیِ انتخاب DQM لایه‌ای در این پایان‌نامه است.</w:t>
      </w:r>
    </w:p>
    <w:p>
      <w:pPr>
        <w:pStyle w:val="Heading1"/>
        <w:bidi/>
        <w:spacing w:after="120" w:line="360" w:lineRule="auto"/>
        <w:jc w:val="right"/>
      </w:pPr>
      <w:r>
        <w:rPr>
          <w:rFonts w:ascii="Times New Roman" w:hAnsi="Times New Roman" w:cs="B Nazanin"/>
          <w:b/>
          <w:bCs/>
          <w:sz w:val="28"/>
          <w:szCs w:val="32"/>
          <w:rtl/>
        </w:rPr>
        <w:t xml:space="preserve">۴-۱۷ گسترش — مقایسهٔ نظریه‌های ترموالاستیسیته (T3)</w:t>
      </w:r>
    </w:p>
    <w:p>
      <w:pPr>
        <w:bidi/>
        <w:jc w:val="center"/>
      </w:pPr>
      <w:r>
        <w:drawing>
          <wp:inline distT="0" distB="0" distL="0" distR="0">
            <wp:extent cx="5760000" cy="3652487"/>
            <wp:docPr id="116" name="T3_theories"/>
            <a:graphic xmlns:a="http://schemas.openxmlformats.org/drawingml/2006/main">
              <a:graphicData uri="http://schemas.openxmlformats.org/drawingml/2006/picture">
                <pic:pic xmlns:pic="http://schemas.openxmlformats.org/drawingml/2006/picture">
                  <pic:nvPicPr>
                    <pic:cNvPr id="116" name="T3_theories"/>
                    <pic:cNvPicPr/>
                  </pic:nvPicPr>
                  <pic:blipFill>
                    <a:blip r:embed="rId26"/>
                    <a:stretch>
                      <a:fillRect/>
                    </a:stretch>
                  </pic:blipFill>
                  <pic:spPr>
                    <a:xfrm>
                      <a:off x="0" y="0"/>
                      <a:ext cx="5760000" cy="365248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۴-x: مقایسهٔ نظریه‌های ترموالاستیسیته (فوریه، LS، DPL با τ_T = τ_q/2، DPL با τ_T = τ_q، GN-III) با پارامترهای هم‌خوان: DPL(τ_T=τ_q) بر فوریه منطبق می‌شود؛ GN-III فراجهش ماندگار دارد؛ LS قوی‌ترین موج را حمل می‌کند.</w:t>
      </w:r>
    </w:p>
    <w:p>
      <w:pPr>
        <w:bidi/>
        <w:spacing w:after="120" w:line="360" w:lineRule="auto"/>
        <w:jc w:val="both"/>
      </w:pPr>
      <w:r>
        <w:rPr>
          <w:rFonts w:ascii="Times New Roman" w:hAnsi="Times New Roman" w:cs="B Nazanin"/>
          <w:sz w:val="24"/>
          <w:szCs w:val="28"/>
          <w:rtl/>
        </w:rPr>
        <w:t xml:space="preserve">همان مسئلهٔ پایه تحت چهار نظریه با پارامترهای هم‌خوان حل شد (DPL با τ_q = τ0؛ GN-III با k* = k/τ0 تا سرعت موج آن با LS برابر شود). ترتیب قلهٔ دمای نقطهٔ میانی: فوریه 0.991 = DPL(τ_T=τ_q) 0.991 &lt; DPL(τ_T=τ_q/2) 1.065 &lt; GN-III 1.151 &lt; LS 1.412. دو مشاهده ستون این بخش‌اند: (۱) برای τ_T = τ_q حل DPL تا نُه رقم معنادار بر فوریه منطبق می‌شود — تأیید عددی تباهیدگی تحلیلی شناخته‌شده — پس DPL تنها با τ_T &lt; τ_q معنا دارد و میان فوریه و LS درون‌یابی می‌کند؛ (۲) GN-III جبهه‌ای زودتر و ضعیف‌تر (رسیدن قله در Fo ≈ 0.64) و فراجهشی *ماندگار* (T* = 1.12 در t_end) نشان می‌دهد؛ زیرا معادلهٔ انرژی آن اتلافِ جملهٔ k∇²θ̇ برای میراندن موج را ندارد — رفتاری بلندمدت که کیفاً متفاوت است. برای استوانهٔ متخلخل تقویت‌شده با GPL چنین نقشهٔ چهارنظریه‌ای در مراجع وجود ندارد و یکی از نوآوری‌های این پژوهش است.</w:t>
      </w:r>
    </w:p>
    <w:p>
      <w:pPr>
        <w:pStyle w:val="Heading1"/>
        <w:bidi/>
        <w:spacing w:after="120" w:line="360" w:lineRule="auto"/>
        <w:jc w:val="right"/>
      </w:pPr>
      <w:r>
        <w:rPr>
          <w:rFonts w:ascii="Times New Roman" w:hAnsi="Times New Roman" w:cs="B Nazanin"/>
          <w:b/>
          <w:bCs/>
          <w:sz w:val="28"/>
          <w:szCs w:val="32"/>
          <w:rtl/>
        </w:rPr>
        <w:t xml:space="preserve">۴-۱۸ جمع‌بندی فصل</w:t>
      </w:r>
    </w:p>
    <w:p>
      <w:pPr>
        <w:bidi/>
        <w:spacing w:after="120" w:line="360" w:lineRule="auto"/>
        <w:ind w:left="425" w:right="425"/>
        <w:jc w:val="both"/>
      </w:pPr>
      <w:r>
        <w:rPr>
          <w:rFonts w:ascii="Times New Roman" w:hAnsi="Times New Roman" w:cs="B Nazanin"/>
          <w:sz w:val="24"/>
          <w:szCs w:val="28"/>
          <w:rtl/>
        </w:rPr>
        <w:t xml:space="preserve">1. موج حرارتی LS فراجهش دمای میان‌جدار تا T* = 1.41 (پایه) و 1.78 (جدار نازک) تولید می‌کند — در هدایت فوریه ناممکن و برای طراحی کوتاه‌زمان تعیین‌کننده.</w:t>
      </w:r>
    </w:p>
    <w:p>
      <w:pPr>
        <w:bidi/>
        <w:spacing w:after="120" w:line="360" w:lineRule="auto"/>
        <w:ind w:left="425" w:right="425"/>
        <w:jc w:val="both"/>
      </w:pPr>
      <w:r>
        <w:rPr>
          <w:rFonts w:ascii="Times New Roman" w:hAnsi="Times New Roman" w:cs="B Nazanin"/>
          <w:sz w:val="24"/>
          <w:szCs w:val="28"/>
          <w:rtl/>
        </w:rPr>
        <w:t xml:space="preserve">2. قرارگیری GPL در سطح گرم‌شونده (V) و حفره‌ها در سطح خنک‌شونده (A) هم‌افزاست: کاهش 9.0 برابری دمای سطح خارجی در تراز تنش ملایم — توصیهٔ طراحی این پایان‌نامه.</w:t>
      </w:r>
    </w:p>
    <w:p>
      <w:pPr>
        <w:bidi/>
        <w:spacing w:after="120" w:line="360" w:lineRule="auto"/>
        <w:ind w:left="425" w:right="425"/>
        <w:jc w:val="both"/>
      </w:pPr>
      <w:r>
        <w:rPr>
          <w:rFonts w:ascii="Times New Roman" w:hAnsi="Times New Roman" w:cs="B Nazanin"/>
          <w:sz w:val="24"/>
          <w:szCs w:val="28"/>
          <w:rtl/>
        </w:rPr>
        <w:t xml:space="preserve">3. آستانهٔ پرکولاسیون نزدیک W_GPL ≈ 1٪ جدار را از عایق به رسانا تبدیل می‌کند؛ GPLِ بیشتر عمدتاً تنش‌های حرارتی را بالا می‌برد.</w:t>
      </w:r>
    </w:p>
    <w:p>
      <w:pPr>
        <w:bidi/>
        <w:spacing w:after="120" w:line="360" w:lineRule="auto"/>
        <w:ind w:left="425" w:right="425"/>
        <w:jc w:val="both"/>
      </w:pPr>
      <w:r>
        <w:rPr>
          <w:rFonts w:ascii="Times New Roman" w:hAnsi="Times New Roman" w:cs="B Nazanin"/>
          <w:sz w:val="24"/>
          <w:szCs w:val="28"/>
          <w:rtl/>
        </w:rPr>
        <w:t xml:space="preserve">4. کوپلینگ کامل موج حرارتی را میرا می‌کند (−8٪ قله)؛ مدل‌های ناکوپله دقیقاً در جبهه‌ها نامحافظه‌کارانه‌اند.</w:t>
      </w:r>
    </w:p>
    <w:p>
      <w:pPr>
        <w:bidi/>
        <w:spacing w:after="120" w:line="360" w:lineRule="auto"/>
        <w:ind w:left="425" w:right="425"/>
        <w:jc w:val="both"/>
      </w:pPr>
      <w:r>
        <w:rPr>
          <w:rFonts w:ascii="Times New Roman" w:hAnsi="Times New Roman" w:cs="B Nazanin"/>
          <w:sz w:val="24"/>
          <w:szCs w:val="28"/>
          <w:rtl/>
        </w:rPr>
        <w:t xml:space="preserve">5. فشار با مرتبهٔ مهندسی در برابر β̄ΔT اثری مرتبه‌دوم است.</w:t>
      </w:r>
    </w:p>
    <w:p>
      <w:pPr>
        <w:bidi/>
        <w:spacing w:after="120" w:line="360" w:lineRule="auto"/>
        <w:ind w:left="425" w:right="425"/>
        <w:jc w:val="both"/>
      </w:pPr>
      <w:r>
        <w:rPr>
          <w:rFonts w:ascii="Times New Roman" w:hAnsi="Times New Roman" w:cs="B Nazanin"/>
          <w:sz w:val="24"/>
          <w:szCs w:val="28"/>
          <w:rtl/>
        </w:rPr>
        <w:t xml:space="preserve">6. انتهای گیردار انبساط محوری مسدود را به +35٪ جابه‌جایی شعاعی میانهٔ طول تبدیل می‌کند؛ اثر تکیه‌گاه موضعیِ انتهاها می‌ماند.</w:t>
      </w:r>
    </w:p>
    <w:p>
      <w:pPr>
        <w:bidi/>
        <w:spacing w:after="120" w:line="360" w:lineRule="auto"/>
        <w:ind w:left="425" w:right="425"/>
        <w:jc w:val="both"/>
      </w:pPr>
      <w:r>
        <w:rPr>
          <w:rFonts w:ascii="Times New Roman" w:hAnsi="Times New Roman" w:cs="B Nazanin"/>
          <w:sz w:val="24"/>
          <w:szCs w:val="28"/>
          <w:rtl/>
        </w:rPr>
        <w:t xml:space="preserve">7. در گرمایش ضربه‌ای (گاوسی)، نظریهٔ کلاسیک پاسخ تنش را حدود 50 برابر کم‌برآورد می‌کند.</w:t>
      </w:r>
    </w:p>
    <w:p>
      <w:pPr>
        <w:bidi/>
        <w:spacing w:after="120" w:line="360" w:lineRule="auto"/>
        <w:ind w:left="425" w:right="425"/>
        <w:jc w:val="both"/>
      </w:pPr>
      <w:r>
        <w:rPr>
          <w:rFonts w:ascii="Times New Roman" w:hAnsi="Times New Roman" w:cs="B Nazanin"/>
          <w:sz w:val="24"/>
          <w:szCs w:val="28"/>
          <w:rtl/>
        </w:rPr>
        <w:t xml:space="preserve">8. روش‌شناسی: نیومارک بهترین نسبت دقت/هزینه میان شش انتگرال‌گیر آزموده است؛ DQM در هر جهت حدود 15 برابر نقطهٔ کمتر از FDM/FEM خطی می‌خواهد؛ و نقشهٔ چهارنظریه‌ای (فوریه/LS/DPL/GN-III) جاهای واگرایی نظریه‌ها را برای این ردهٔ سازه‌ها ترسیم می‌کند.</w:t>
      </w:r>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style>
  <w:style w:type="paragraph" w:styleId="Heading1">
    <w:name w:val="heading 1"/>
    <w:basedOn w:val="Normal"/>
    <w:pPr>
      <w:keepNext/>
      <w:outlineLvl w:val="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