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6.png" ContentType="image/png"/>
  <Override PartName="/word/media/rId13.png" ContentType="image/png"/>
  <Override PartName="/word/media/rId19.png" ContentType="image/png"/>
  <Override PartName="/word/media/rId25.png" ContentType="image/png"/>
  <Override PartName="/word/media/rId9.png" ContentType="image/png"/>
  <Override PartName="/word/media/rId44.png" ContentType="image/png"/>
  <Override PartName="/word/media/rId47.png" ContentType="image/png"/>
  <Override PartName="/word/media/rId65.png" ContentType="image/png"/>
  <Override PartName="/word/media/rId56.png" ContentType="image/png"/>
  <Override PartName="/word/media/rId53.png" ContentType="image/png"/>
  <Override PartName="/word/media/rId50.png" ContentType="image/png"/>
  <Override PartName="/word/media/rId68.png" ContentType="image/png"/>
  <Override PartName="/word/media/rId71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59.png" ContentType="image/png"/>
  <Override PartName="/word/media/rId62.png" ContentType="image/png"/>
  <Override PartName="/word/media/rId74.png" ContentType="image/png"/>
  <Override PartName="/word/media/rId116.png" ContentType="image/png"/>
  <Override PartName="/word/media/rId38.png" ContentType="image/png"/>
  <Override PartName="/word/media/rId41.png" ContentType="image/png"/>
  <Override PartName="/word/media/rId98.png" ContentType="image/png"/>
  <Override PartName="/word/media/rId35.png" ContentType="image/png"/>
  <Override PartName="/word/media/rId29.png" ContentType="image/png"/>
  <Override PartName="/word/media/rId32.png" ContentType="image/png"/>
  <Override PartName="/word/media/rId95.png" ContentType="image/png"/>
  <Override PartName="/word/media/rId86.png" ContentType="image/png"/>
  <Override PartName="/word/media/rId83.png" ContentType="image/png"/>
  <Override PartName="/word/media/rId92.png" ContentType="image/png"/>
  <Override PartName="/word/media/rId89.png" ContentType="image/png"/>
  <Override PartName="/word/media/rId80.png" ContentType="image/png"/>
  <Override PartName="/word/media/rId77.png" ContentType="image/png"/>
  <Override PartName="/word/media/rId1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X6729fd28a8f3e2c85801c10e2af5276d878ad12"/>
    <w:p>
      <w:pPr>
        <w:pStyle w:val="Heading1"/>
        <w:bidi/>
      </w:pPr>
      <w:r>
        <w:rPr>
          <w:rtl/>
        </w:rPr>
        <w:t xml:space="preserve">پروندهٔ کاملِ شکل‌های پایان‌نامه (Figure Flip-book)</w:t>
      </w:r>
    </w:p>
    <w:p>
      <w:pPr>
        <w:bidi/>
      </w:pPr>
      <w:r>
        <w:rPr>
          <w:rtl/>
        </w:rPr>
        <w:t xml:space="preserve">همهٔ شکل‌های شماره‌دار به ترتیبِ ظهور، با تصویر و شرح.</w:t>
      </w:r>
    </w:p>
    <w:p>
      <w:r>
        <w:pict>
          <v:rect style="width:0;height:1.5pt" o:hralign="center" o:hrstd="t" o:hr="t"/>
        </w:pict>
      </w:r>
    </w:p>
    <w:bookmarkStart w:id="12" w:name="فصل-۲"/>
    <w:p>
      <w:pPr>
        <w:pStyle w:val="Heading2"/>
        <w:bidi/>
      </w:pPr>
      <w:r>
        <w:rPr>
          <w:rtl/>
        </w:rPr>
        <w:t xml:space="preserve">فصل ۲</w:t>
      </w:r>
    </w:p>
    <w:p>
      <w:pPr>
        <w:bidi/>
      </w:pPr>
      <w:r>
        <w:rPr>
          <w:b/>
          <w:bCs/>
          <w:rtl/>
        </w:rPr>
        <w:t xml:space="preserve">شکل ۲-۱: رده‌بندی نظریه‌های ترموالاستیسیته (کلاسیک و تعمیم‌یافته: لرد–شولمن، گرین–لیندزی، گرین–نگدی، تأخیر دوفازی).</w:t>
      </w:r>
    </w:p>
    <w:p>
      <w:pPr>
        <w:bidi/>
      </w:pPr>
      <w:r>
        <w:drawing>
          <wp:inline>
            <wp:extent cx="5334000" cy="19838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_ch123/theory_taxonom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28" w:name="فصل-۳"/>
    <w:p>
      <w:pPr>
        <w:pStyle w:val="Heading2"/>
        <w:bidi/>
      </w:pPr>
      <w:r>
        <w:rPr>
          <w:rtl/>
        </w:rPr>
        <w:t xml:space="preserve">فصل ۳</w:t>
      </w:r>
    </w:p>
    <w:p>
      <w:pPr>
        <w:bidi/>
      </w:pPr>
      <w:r>
        <w:rPr>
          <w:b/>
          <w:bCs/>
          <w:rtl/>
        </w:rPr>
        <w:t xml:space="preserve">شکل ۳-۱: نمای شماتیکِ استوانهٔ توخالیِ چندلایه: مقطع عرضی و دامنهٔ محاسباتیِ r-z با شرایط مرزی.</w:t>
      </w:r>
    </w:p>
    <w:p>
      <w:pPr>
        <w:bidi/>
      </w:pPr>
      <w:r>
        <w:drawing>
          <wp:inline>
            <wp:extent cx="5334000" cy="283495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_ch123/geometry_schemati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۳-۲: توزیع کسر وزنیِ پلاکت‌های گرافن در راستای ضخامت برای پنج الگوی UD، O، X، V، A.</w:t>
      </w:r>
    </w:p>
    <w:p>
      <w:pPr>
        <w:bidi/>
      </w:pPr>
      <w:r>
        <w:drawing>
          <wp:inline>
            <wp:extent cx="5334000" cy="412444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ures_ch123/GPL_patterns_schemati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۳-۳: توزیع ضریب جرمیِ تخلخل P_m در راستای ضخامت برای پنج الگوی UD، O، X، V، A.</w:t>
      </w:r>
    </w:p>
    <w:p>
      <w:pPr>
        <w:bidi/>
      </w:pPr>
      <w:r>
        <w:drawing>
          <wp:inline>
            <wp:extent cx="5334000" cy="366142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ures_ch123/porosity_patterns_schemati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۳-۴: توزیع نقاطِ چبیشف–گاوس–لوباتو در راستای شعاعی و محوری (نمایش با N=9 برای وضوح؛ مقدار واقعیِ محاسبات: N_r=15، N_z=11).</w:t>
      </w:r>
    </w:p>
    <w:p>
      <w:pPr>
        <w:bidi/>
      </w:pPr>
      <w:r>
        <w:drawing>
          <wp:inline>
            <wp:extent cx="5334000" cy="238656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_ch123/DQM_nodes_schemati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۳-۵: روندنمای الگوریتم حل (خواص مؤثر، DQM، مونتاژ M/C/K، نیومارک).</w:t>
      </w:r>
    </w:p>
    <w:p>
      <w:pPr>
        <w:bidi/>
      </w:pPr>
      <w:r>
        <w:drawing>
          <wp:inline>
            <wp:extent cx="5334000" cy="822877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_ch123/solution_flowch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Start w:id="119" w:name="فصل-۴"/>
    <w:p>
      <w:pPr>
        <w:pStyle w:val="Heading2"/>
        <w:bidi/>
      </w:pPr>
      <w:r>
        <w:rPr>
          <w:rtl/>
        </w:rPr>
        <w:t xml:space="preserve">فصل ۴</w:t>
      </w:r>
    </w:p>
    <w:p>
      <w:pPr>
        <w:bidi/>
      </w:pPr>
      <w:r>
        <w:rPr>
          <w:b/>
          <w:bCs/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drawing>
          <wp:inline>
            <wp:extent cx="5334000" cy="207967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_ch4_color/conv_N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drawing>
          <wp:inline>
            <wp:extent cx="5334000" cy="207967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_ch4_color/conv_Nz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drawing>
          <wp:inline>
            <wp:extent cx="5334000" cy="207967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_ch4_color/conv_N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drawing>
          <wp:inline>
            <wp:extent cx="5334000" cy="381034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_ch4_color/bench1_U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drawing>
          <wp:inline>
            <wp:extent cx="5334000" cy="369784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_ch4_color/bench2_T_profil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drawing>
          <wp:inline>
            <wp:extent cx="5334000" cy="329786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_ch4_color/A_GPL_pattern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_ch4_color/B_porosity_patter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_ch4_color/E_porosity_leve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_ch4_color/D_wt_low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_ch4_color/D2_wt_high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_ch4_color/O_aspect_ab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gures_ch4_color/P_aspect_b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۴-۱۳: اثر زمان تخفیف — فوریه (τ</w:t>
      </w:r>
      <w:r>
        <w:rPr>
          <w:b/>
          <w:bCs/>
          <w:i/>
          <w:iCs/>
          <w:rtl/>
        </w:rPr>
        <w:t xml:space="preserve">=0) و لرد–شولمن τ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drawing>
          <wp:inline>
            <wp:extent cx="5334000" cy="329786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_ch4_color/C_relaxa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_ch4_color/F_end_B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s_ch4_color/G_pressur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_ch4_color/Q_length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rtl/>
        </w:rPr>
        <w:t xml:space="preserve">**شکل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ساده]**</w:t>
      </w:r>
    </w:p>
    <w:p>
      <w:pPr>
        <w:bidi/>
      </w:pPr>
      <w:r>
        <w:drawing>
          <wp:inline>
            <wp:extent cx="5334000" cy="269507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ures_ch4_color/matrix25_Tsta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drawing>
          <wp:inline>
            <wp:extent cx="5334000" cy="2695073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_ch4_color/matrix25_Sigma_thth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ures_ch4_color/gplpor_porU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drawing>
          <wp:inline>
            <wp:extent cx="5334000" cy="329786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_ch4_color/gplpor_porO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drawing>
          <wp:inline>
            <wp:extent cx="5334000" cy="329786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gures_ch4_color/gplpor_porX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_ch4_color/gplpor_porV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۴-۲۳: مقایسهٔ الگوهای گرافن (UD، O، X، V، A) در تخلخل نوع A ‏[R_i=1، R_o=1.5، L=2.1 m، N_L=7، W_GPL=0.3٪، e_m3=0.8604، تخلخل A، τ*=0.15، P_i=50 MPa، دو سر ساده]</w:t>
      </w:r>
    </w:p>
    <w:p>
      <w:pPr>
        <w:bidi/>
      </w:pPr>
      <w:r>
        <w:drawing>
          <wp:inline>
            <wp:extent cx="5334000" cy="3297867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ures_ch4_color/gplpor_porA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۴-۲۴: بهترین و بدترین ترکیب‌های گرافن×تخلخل در برابرِ مرجعِ UD-UD: V-A (بهترین حرارتی، T* بیرونی=۰٫۰۳۴، و بهترین مکانیکی با تنشِ محیطیِ سطحِ داخلی، −۰٫۳۸)، A-UD (بدترین حرارتی، ۰٫۸۹۶)، X-V (بدترین مکانیکی، تنشِ محیطیِ داخلی ۴٫۱۵)، و O-A (دومین مکانیکیِ برتر، −۰٫۳۷) ‏[R_i=1، R_o=1.5،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ures_ch4_color/bestwors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۴-۲۵: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figures_ch4_color/I_coupling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۴-۲۶: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figures_ch4_color/J_convectio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۴-۲۷: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ures_ch4_color/K_thicknes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۴-۲۸: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figures_ch4_color/M_gauss_shock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۴-۲۹: همگراییِ گسسته‌سازیِ مکانی روی محکِ هدایتِ گذرا: بیشینهٔ خطا برحسبِ تعداد نقاطِ شعاعی N برای DQM (چبیشف و یکنواخت)، FDM مرتبهٔ دوم، و FEM خطی/درجه‌دو؛ خطِ نقطه‌چین شیبِ منفیِ ۲ (همگراییِ مرتبهٔ دوم) را نشان می‌دهد</w:t>
      </w:r>
    </w:p>
    <w:p>
      <w:pPr>
        <w:bidi/>
      </w:pPr>
      <w:r>
        <w:drawing>
          <wp:inline>
            <wp:extent cx="5334000" cy="3828753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ures_ch4_color/spatial_convergenc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شکل ۴-۳۰: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drawing>
          <wp:inline>
            <wp:extent cx="5334000" cy="370843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figures_ch4_color/T3_theorie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65" Target="media/rId65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74" Target="media/rId74.png" /><Relationship Type="http://schemas.openxmlformats.org/officeDocument/2006/relationships/image" Id="rId116" Target="media/rId116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98" Target="media/rId9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95" Target="media/rId95.png" /><Relationship Type="http://schemas.openxmlformats.org/officeDocument/2006/relationships/image" Id="rId86" Target="media/rId86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89" Target="media/rId89.png" /><Relationship Type="http://schemas.openxmlformats.org/officeDocument/2006/relationships/image" Id="rId80" Target="media/rId80.png" /><Relationship Type="http://schemas.openxmlformats.org/officeDocument/2006/relationships/image" Id="rId77" Target="media/rId77.png" /><Relationship Type="http://schemas.openxmlformats.org/officeDocument/2006/relationships/image" Id="rId113" Target="media/rId1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2026-08-05T18:48:42Z</dcterms:created>
  <dcterms:modified xsi:type="dcterms:W3CDTF">2026-08-05T18:48:42Z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