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فهرست-کامل-شکلهای-پایاننامه"/>
    <w:p>
      <w:pPr>
        <w:pStyle w:val="Heading1"/>
        <w:bidi/>
      </w:pPr>
      <w:r>
        <w:rPr>
          <w:rtl/>
        </w:rPr>
        <w:t xml:space="preserve">فهرست کاملِ شکل‌های پایان‌نامه</w:t>
      </w:r>
    </w:p>
    <w:p>
      <w:pPr>
        <w:bidi/>
      </w:pPr>
      <w:r>
        <w:rPr>
          <w:rtl/>
        </w:rPr>
        <w:t xml:space="preserve">این سند همهٔ شکل‌های پایان‌نامه را به ترتیبِ ظهور در فصل‌ها گرد می‌آورد؛ برای هر</w:t>
      </w:r>
      <w:r>
        <w:rPr>
          <w:rtl/>
        </w:rPr>
        <w:t xml:space="preserve"> </w:t>
      </w:r>
      <w:r>
        <w:rPr>
          <w:rtl/>
        </w:rPr>
        <w:t xml:space="preserve">شکل یک ردیف با شماره، شرح و نامِ پروندهٔ منبع آورده شده است. مجموعِ شکل‌ها:</w:t>
      </w:r>
      <w:r>
        <w:rPr>
          <w:rtl/>
        </w:rPr>
        <w:t xml:space="preserve"> </w:t>
      </w:r>
      <w:r>
        <w:rPr>
          <w:b/>
          <w:bCs/>
          <w:rtl/>
        </w:rPr>
        <w:t xml:space="preserve">۴۲</w:t>
      </w:r>
      <w:r>
        <w:rPr>
          <w:rtl/>
        </w:rPr>
        <w:t xml:space="preserve"> </w:t>
      </w:r>
      <w:r>
        <w:rPr>
          <w:rtl/>
        </w:rPr>
        <w:t xml:space="preserve">شکلِ شماره‌دار (فصل ۲: ۱، فصل ۳: ۵، فصل ۴: ۳۰) به‌علاوهٔ شکل‌های پیوستِ ب که برخی</w:t>
      </w:r>
      <w:r>
        <w:rPr>
          <w:rtl/>
        </w:rPr>
        <w:t xml:space="preserve"> </w:t>
      </w:r>
      <w:r>
        <w:rPr>
          <w:rtl/>
        </w:rPr>
        <w:t xml:space="preserve">از همان شکل‌های صحت‌سنجیِ فصل ۴ را بازاستفاده می‌کنند.</w:t>
      </w:r>
    </w:p>
    <w:p>
      <w:r>
        <w:pict>
          <v:rect style="width:0;height:1.5pt" o:hralign="center" o:hrstd="t" o:hr="t"/>
        </w:pict>
      </w:r>
    </w:p>
    <w:bookmarkStart w:id="9" w:name="فصل-۲-پیشینه-پژوهش"/>
    <w:p>
      <w:pPr>
        <w:pStyle w:val="Heading2"/>
        <w:bidi/>
      </w:pPr>
      <w:r>
        <w:rPr>
          <w:rtl/>
        </w:rPr>
        <w:t xml:space="preserve">فصل ۲ — پیشینه پژوهش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شماره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شرح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پرونده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۲-۱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رده‌بندی نظریه‌های ترموالاستیسیته: کلاسیک (فوریه، سرعت موج بی‌نهایت) و تعمیم‌یافته (هذلولوی، سرعت محدود/صوت دوم) شامل لرد–شولمن، گرین–لیندزی، گرین–نگدی و تأخیر دوفازی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figures_ch123/theory_taxonomy.png</w:t>
            </w:r>
          </w:p>
        </w:tc>
      </w:tr>
    </w:tbl>
    <w:bookmarkEnd w:id="9"/>
    <w:bookmarkStart w:id="10" w:name="فصل-۳-روششناسی"/>
    <w:p>
      <w:pPr>
        <w:pStyle w:val="Heading2"/>
        <w:bidi/>
      </w:pPr>
      <w:r>
        <w:rPr>
          <w:rtl/>
        </w:rPr>
        <w:t xml:space="preserve">فصل ۳ — روش‌شناسی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شماره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شرح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پرونده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۳-۱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نمای شماتیکِ استوانهٔ توخالیِ چندلایه: مقطع عرضی و دامنهٔ محاسباتیِ r-z، با شوک حرارتی+فشار داخلی، همرفتِ خارجی و دو سرِ عایق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figures_ch123/geometry_schematic.png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۳-۲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توزیع کسر وزنیِ پلاکت‌های گرافن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 راستای ضخامت برای پنج الگوی UD، O، X، V و 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figures_ch123/GPL_patterns_schematic.png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۳-۳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توزیع ضریب جرمیِ تخلخل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/</m:t>
              </m:r>
              <m:sSub>
                <m:e>
                  <m:r>
                    <m:t>ρ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 راستای ضخامت برای پنج الگوی UD، O، X، V و 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figures_ch123/porosity_patterns_schematic.png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۳-۴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توزیع نقاطِ چبیشف–گاوس–لوباتو — نمایش با ۹ نقطه در هر راستا برای وضوح (مقدار واقعیِ محاسبات: N_r=15، N_z=11)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figures_ch123/DQM_nodes_schematic.png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۳-۵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روندنمای الگوریتم حل: خواصِ مؤثر، ساخت شبکه و ماتریس‌های DQ، مونتاژِ [M]،[C]،[K] و پیشرویِ زمانیِ نیومارک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figures_ch123/solution_flowchart.png</w:t>
            </w:r>
          </w:p>
        </w:tc>
      </w:tr>
    </w:tbl>
    <w:bookmarkEnd w:id="10"/>
    <w:bookmarkStart w:id="11" w:name="فصل-۴-یافتههای-پژوهش"/>
    <w:p>
      <w:pPr>
        <w:pStyle w:val="Heading2"/>
        <w:bidi/>
      </w:pPr>
      <w:r>
        <w:rPr>
          <w:rtl/>
        </w:rPr>
        <w:t xml:space="preserve">فصل ۴ — یافته‌های پژوهش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شماره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شرح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پرونده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همگرایی نقاط شعاعی — پروفیل تنش محیطی و دما برای N_r = ۷…۱۵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conv_Nr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همگرایی نقاط محوری — پروفیل‌ها برای N_z = ۵…۱۵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conv_Nz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همگرایی تعداد لایه‌ها — پروفیل‌ها برای N_L = ۳…۱۵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conv_NL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صحت‌سنجی (مکانیکی) — جابجایی شعاعیِ بی‌بعدِ سطح داخلی در برابر ملک‌زاده و حیدرپور (۲۰۱۲) و ستونِ انسیسِ همان 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bench1_U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صحت‌سنجی (حرارتی) — پروفیل‌های دمای گذرا در برابر حل دقیقِ سریِ بسل در t = ۲، ۱۰ و ۴۰ ثانیه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bench2_T_profiles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الگوی توزیع گرافن (UD، O، X، V، A) بر تاریخچه‌های T* و U* و پروفیل‌های نهاییِ T* و Σθθ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A_GPL_patterns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الگوی توزیع تخلخل (UD، O، X، V، A) با گرافن یکنواخت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B_porosity_patterns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۴-۸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شدت تخلخل e_m3 = ۰٫۹۶۷۵ / ۰٫۸۶۰۴ / ۰٫۷۷۷۶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E_porosity_level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کسر وزنی گرافن (گسترهٔ پایین) W = ۰٫۱ / ۰٫۳ / ۰٫۵ / ۰٫۹ / ۱٫۵ درصد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D_wt_low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کسر وزنی گرافن (گسترهٔ بالا) W = ۱ / ۲ / ۴ / ۸ درصد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D2_wt_high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نسبت ابعادیِ طول‌به‌عرضِ پلاکت a/b = ۱٫۰ / ۱٫۶۷ / ۲٫۶۷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O_aspect_ab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نسبت ابعادیِ عرض‌به‌ضخامتِ پلاکت b/t = ۵۰۰ / ۱۰۰۰ / ۲۰۰۰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P_aspect_bt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زمان تخفیف — فوریه (τ</w:t>
            </w:r>
            <w:r>
              <w:rPr>
                <w:i/>
                <w:iCs/>
                <w:rtl/>
              </w:rPr>
              <w:t xml:space="preserve">=0) و لرد–شولمن 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۰٫۰۴ / ۰٫۱۵ / ۰٫۴۴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C_relaxation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شرایط تکیه‌گاهیِ دو سر — ساده (S-S)، مخلوط (S-C) و گیردار (C-C)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F_end_BC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فشار داخلی P_i = ۰ / ۱۰ / ۵۰ / ۱۰۰ مگاپاسکال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G_pressure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طول استوانه L = ۱ / ۲٫۱ / ۵ / ۱۰ متر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Q_length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ماتریس کاملِ ۲۵حالتهٔ گرافن×تخلخل — دمای بی‌بعدِ عرضِ‌جداره T*(ξ) برای هر جفت الگو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matrix25_Tstar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۴-۱۸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ماتریس کاملِ ۲۵حالتهٔ گرافن×تخلخل — پروفیل تنش محیطی Σθθ(ξ) برای هر جفت الگو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matrix25_Sigma_thth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الگوهای گرافن (UD، O، X، V، A) در تخلخل یکنواخت (UD)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gplpor_porUD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الگوهای گرافن در تخلخل نوع O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gplpor_porO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الگوهای گرافن در تخلخل نوع X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gplpor_porX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الگوهای گرافن در تخلخل نوع V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gplpor_porV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الگوهای گرافن در تخلخل نوع 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gplpor_porA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بهترین و بدترین ترکیب‌های گرافن×تخلخل در برابرِ مرجعِ UD-UD: V-A، A-UD، X-V و O-A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bestworst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ممزوج بودن معادلات — کاملاً ممزوج در برابر معادلهٔ انرژیِ غیرممزوج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I_coupling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ضریب همرفتِ سطح خارجی h_c = ۱۰ / ۱۰۰ / ۱۰۰۰ وات بر مترمربع‌کلوین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J_convection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ضخامت جداره، نسبت شعاعی R_o/R_i = ۱٫۲۵ / ۱٫۵ / ۲٫۰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K_thickness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۴-۲۸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به شوک حرارتیِ گاوسی — لرد–شولمن در برابر فوریه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M_gauss_shock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همگراییِ گسسته‌سازیِ مکانی: بیشینهٔ خطا برحسبِ N برای DQM/FDM/FEM (خطِ نقطه‌چین: شیبِ −۲)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spatial_convergence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۴-۳۰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نظریه‌های ترموالاستیسیتهٔ تعمیم‌یافته — فوریه، لرد–شولمن، تأخیر دوفازی و گرین–نگدی نوع سوم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T3_theories</w:t>
            </w:r>
          </w:p>
        </w:tc>
      </w:tr>
    </w:tbl>
    <w:bookmarkEnd w:id="11"/>
    <w:bookmarkStart w:id="12" w:name="پیوست-ب-صحتسنجی-و-راستیآزمایی"/>
    <w:p>
      <w:pPr>
        <w:pStyle w:val="Heading2"/>
        <w:bidi/>
      </w:pPr>
      <w:r>
        <w:rPr>
          <w:rtl/>
        </w:rPr>
        <w:t xml:space="preserve">پیوست ب — صحت‌سنجی و راستی‌آزمایی</w:t>
      </w:r>
    </w:p>
    <w:p>
      <w:pPr>
        <w:bidi/>
      </w:pPr>
      <w:r>
        <w:rPr>
          <w:rtl/>
        </w:rPr>
        <w:t xml:space="preserve">پیوست ب شکل‌های صحت‌سنجی را گرد می‌آورد؛ سه مورد از آن‌ها نموداری‌اند و بقیه در</w:t>
      </w:r>
      <w:r>
        <w:rPr>
          <w:rtl/>
        </w:rPr>
        <w:t xml:space="preserve"> </w:t>
      </w:r>
      <w:r>
        <w:rPr>
          <w:rtl/>
        </w:rPr>
        <w:t xml:space="preserve">جدول گزارش شده‌اند. شکل‌های نموداریِ بازاستفاده‌شده از فصل ۴: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شماره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شرح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پرونده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ب-۱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صحت‌سنجی مکانیکی (همان شکل ۴-۴)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bench1_U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ب-۲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صحت‌سنجی حرارتی (همان شکل ۴-۵)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bench2_T_profiles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ب-۳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صحت‌سنجیِ امواج لرد–شولمن — پیشانی‌های دمای صوت دوم در برابر باقری و اسلامی (۲۰۰۷)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figures_ch4_bw/bench3_theta.png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figures_ch4_color/bench3_theta.png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همگراییِ شبکه/مکان (همان شکل‌های ۴-۱، ۴-۲، ۴-۲۹)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conv_Nr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conv_Nz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spatial_convergence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یادداشت ساخت:</w:t>
      </w:r>
      <w:r>
        <w:rPr>
          <w:rtl/>
        </w:rPr>
        <w:t xml:space="preserve"> </w:t>
      </w:r>
      <w:r>
        <w:rPr>
          <w:rtl/>
        </w:rPr>
        <w:t xml:space="preserve">پرونده‌های فصل ۴ در دو نسخهٔ سیاه‌وسفید و رنگی نگه‌داری می‌شوند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figures_ch4_bw/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figures_ch4_color/</w:t>
      </w:r>
      <w:r>
        <w:rPr>
          <w:rtl/>
        </w:rPr>
        <w:t xml:space="preserve">)؛ منبعِ اصلیِ ترسیم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results_campaign/figures_{print,color}/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results_extensions/figures_{print,color}/</w:t>
      </w:r>
      <w:r>
        <w:rPr>
          <w:rtl/>
        </w:rPr>
        <w:t xml:space="preserve"> </w:t>
      </w:r>
      <w:r>
        <w:rPr>
          <w:rtl/>
        </w:rPr>
        <w:t xml:space="preserve">است. برای ساختِ یک پروندهٔ واحدِ تصویری (همهٔ ۴۲ شکل با تصویر جاسازی‌شده) کافی است</w:t>
      </w:r>
      <w:r>
        <w:rPr>
          <w:rtl/>
        </w:rPr>
        <w:t xml:space="preserve"> </w:t>
      </w:r>
      <w:r>
        <w:rPr>
          <w:rtl/>
        </w:rPr>
        <w:t xml:space="preserve">هر کلید بالا به مسیرِ پروندهٔ متناظرش نگاشت و در یک docx مونتاژ شود.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2026-08-05T18:49:21Z</dcterms:created>
  <dcterms:modified xsi:type="dcterms:W3CDTF">2026-08-05T18:49:21Z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