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56.png" ContentType="image/png"/>
  <Override PartName="/word/media/rId60.png" ContentType="image/png"/>
  <Override PartName="/word/media/rId47.png" ContentType="image/png"/>
  <Override PartName="/word/media/rId37.png" ContentType="image/png"/>
  <Override PartName="/word/media/rId32.png" ContentType="image/png"/>
  <Override PartName="/word/media/rId41.png" ContentType="image/png"/>
  <Override PartName="/word/media/rId51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68.png" ContentType="image/png"/>
  <Override PartName="/word/media/rId84.png" ContentType="image/png"/>
  <Override PartName="/word/media/rId64.png" ContentType="image/png"/>
  <Override PartName="/word/media/rId105.png" ContentType="image/png"/>
  <Override PartName="/word/media/rId109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تحلیل ترموالاستیک استوانه‌های متخلخلِ تقویت‌شده با پلاکت‌های گرافنی تحت بارِ ترمو-مکانیکی با استفاده از تئوری لرد-شولمن</w:t>
      </w:r>
    </w:p>
    <w:p>
      <w:pPr>
        <w:pStyle w:val="Author"/>
      </w:pPr>
      <w:r>
        <w:t xml:space="preserve">نگارنده: ‹نام دانشجو› | استاد راهنما: ‹نام استاد راهنما›</w:t>
      </w:r>
    </w:p>
    <w:p>
      <w:pPr>
        <w:pStyle w:val="Date"/>
      </w:pPr>
      <w:r>
        <w:t xml:space="preserve">‹نام دانشگاه و دانشکده› — ‹تاریخ دفاع›</w:t>
      </w:r>
    </w:p>
    <w:bookmarkStart w:id="28" w:name="فهرست-مطالب"/>
    <w:p>
      <w:pPr>
        <w:pStyle w:val="Heading1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r>
        <w:t xml:space="preserve">بیان مسئله و هدف پژوهش</w:t>
      </w:r>
    </w:p>
    <w:p>
      <w:pPr>
        <w:pStyle w:val="Compact"/>
        <w:numPr>
          <w:ilvl w:val="0"/>
          <w:numId w:val="1001"/>
        </w:numPr>
      </w:pPr>
      <w:r>
        <w:t xml:space="preserve">پیشینه و شکاف تحقیقاتی</w:t>
      </w:r>
    </w:p>
    <w:p>
      <w:pPr>
        <w:pStyle w:val="Compact"/>
        <w:numPr>
          <w:ilvl w:val="0"/>
          <w:numId w:val="1001"/>
        </w:numPr>
      </w:pPr>
      <w:r>
        <w:t xml:space="preserve">مدل‌سازی: هندسه، مواد و الگوها</w:t>
      </w:r>
    </w:p>
    <w:p>
      <w:pPr>
        <w:pStyle w:val="Compact"/>
        <w:numPr>
          <w:ilvl w:val="0"/>
          <w:numId w:val="1001"/>
        </w:numPr>
      </w:pPr>
      <w:r>
        <w:t xml:space="preserve">معادلات حاکم و روش حل عددی</w:t>
      </w:r>
    </w:p>
    <w:p>
      <w:pPr>
        <w:pStyle w:val="Compact"/>
        <w:numPr>
          <w:ilvl w:val="0"/>
          <w:numId w:val="1001"/>
        </w:numPr>
      </w:pPr>
      <w:r>
        <w:t xml:space="preserve">صحت‌سنجی و همگرایی</w:t>
      </w:r>
    </w:p>
    <w:p>
      <w:pPr>
        <w:pStyle w:val="Compact"/>
        <w:numPr>
          <w:ilvl w:val="0"/>
          <w:numId w:val="1001"/>
        </w:numPr>
      </w:pPr>
      <w:r>
        <w:t xml:space="preserve">نتایج و بحث</w:t>
      </w:r>
    </w:p>
    <w:p>
      <w:pPr>
        <w:pStyle w:val="Compact"/>
        <w:numPr>
          <w:ilvl w:val="0"/>
          <w:numId w:val="1001"/>
        </w:numPr>
      </w:pPr>
      <w:r>
        <w:t xml:space="preserve">نوآوری‌ها، نتیجه‌گیری و پیشنهادها</w:t>
      </w:r>
    </w:p>
    <w:bookmarkEnd w:id="28"/>
    <w:bookmarkStart w:id="29" w:name="چرا-تئوری-کلاسیک-فوریه-کافی-نیست"/>
    <w:p>
      <w:pPr>
        <w:pStyle w:val="Heading1"/>
      </w:pPr>
      <w:r>
        <w:t xml:space="preserve">چرا تئوری کلاسیک فوریه کافی نیست؟</w:t>
      </w:r>
    </w:p>
    <w:p>
      <w:pPr>
        <w:pStyle w:val="Compact"/>
        <w:numPr>
          <w:ilvl w:val="0"/>
          <w:numId w:val="1002"/>
        </w:numPr>
      </w:pPr>
      <w:r>
        <w:t xml:space="preserve">تئوری فوریه سرعت انتشار حرارت را</w:t>
      </w:r>
      <w:r>
        <w:t xml:space="preserve"> </w:t>
      </w:r>
      <w:r>
        <w:rPr>
          <w:b/>
          <w:bCs/>
        </w:rPr>
        <w:t xml:space="preserve">بی‌نهایت</w:t>
      </w:r>
      <w:r>
        <w:t xml:space="preserve"> </w:t>
      </w:r>
      <w:r>
        <w:t xml:space="preserve">فرض می‌کند.</w:t>
      </w:r>
    </w:p>
    <w:p>
      <w:pPr>
        <w:pStyle w:val="Compact"/>
        <w:numPr>
          <w:ilvl w:val="0"/>
          <w:numId w:val="1002"/>
        </w:numPr>
      </w:pPr>
      <w:r>
        <w:t xml:space="preserve">این فرض در</w:t>
      </w:r>
      <w:r>
        <w:t xml:space="preserve"> </w:t>
      </w:r>
      <w:r>
        <w:rPr>
          <w:b/>
          <w:bCs/>
        </w:rPr>
        <w:t xml:space="preserve">شوک حرارتی و زمان‌های کوتاه</w:t>
      </w:r>
      <w:r>
        <w:t xml:space="preserve"> </w:t>
      </w:r>
      <w:r>
        <w:t xml:space="preserve">غیرفیزیکی است.</w:t>
      </w:r>
    </w:p>
    <w:p>
      <w:pPr>
        <w:pStyle w:val="Compact"/>
        <w:numPr>
          <w:ilvl w:val="0"/>
          <w:numId w:val="1002"/>
        </w:numPr>
      </w:pPr>
      <w:r>
        <w:t xml:space="preserve">تئوری لرد-شولمن با زمان تخفیف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معادلهٔ انرژی را</w:t>
      </w:r>
      <w:r>
        <w:t xml:space="preserve"> </w:t>
      </w:r>
      <w:r>
        <w:rPr>
          <w:b/>
          <w:bCs/>
        </w:rPr>
        <w:t xml:space="preserve">هذلولوی</w:t>
      </w:r>
      <w:r>
        <w:t xml:space="preserve"> </w:t>
      </w:r>
      <w:r>
        <w:t xml:space="preserve">می‌کند: حرارت به‌صورت</w:t>
      </w:r>
      <w:r>
        <w:t xml:space="preserve"> </w:t>
      </w:r>
      <w:r>
        <w:rPr>
          <w:b/>
          <w:bCs/>
        </w:rPr>
        <w:t xml:space="preserve">موج با سرعت محدود</w:t>
      </w:r>
      <w:r>
        <w:t xml:space="preserve"> </w:t>
      </w:r>
      <w:r>
        <w:t xml:space="preserve">منتشر می‌شود.</w:t>
      </w:r>
    </w:p>
    <w:p>
      <w:pPr>
        <w:pStyle w:val="Compact"/>
        <w:numPr>
          <w:ilvl w:val="0"/>
          <w:numId w:val="1002"/>
        </w:numPr>
      </w:pPr>
      <w:r>
        <w:t xml:space="preserve">کاربرد: مخازن تحت فشار، محفظه‌های احتراق و سامانه‌های حفاظت حرارتی.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با یک جملهٔ ملموس شروع کنید: «اگر جدارهٔ یک مخزن در چند ثانیه ۳۰۰ درجه گرم شود، مدل کلاسیک عملاً می‌گوید اثرِ آن بلافاصله به سطح بیرونی می‌رسد — که فیزیکی نیست.»</w:t>
      </w:r>
    </w:p>
    <w:bookmarkEnd w:id="29"/>
    <w:bookmarkStart w:id="30" w:name="هدف-پژوهش"/>
    <w:p>
      <w:pPr>
        <w:pStyle w:val="Heading1"/>
      </w:pPr>
      <w:r>
        <w:t xml:space="preserve">هدف پژوهش</w:t>
      </w:r>
    </w:p>
    <w:p>
      <w:pPr>
        <w:pStyle w:val="Compact"/>
        <w:numPr>
          <w:ilvl w:val="0"/>
          <w:numId w:val="1003"/>
        </w:numPr>
      </w:pPr>
      <w:r>
        <w:t xml:space="preserve">حلِ</w:t>
      </w:r>
      <w:r>
        <w:t xml:space="preserve"> </w:t>
      </w:r>
      <w:r>
        <w:rPr>
          <w:b/>
          <w:bCs/>
        </w:rPr>
        <w:t xml:space="preserve">کاملاً ممزوجِ</w:t>
      </w:r>
      <w:r>
        <w:t xml:space="preserve"> </w:t>
      </w:r>
      <w:r>
        <w:t xml:space="preserve">معادلات لرد-شولمن برای استوانهٔ</w:t>
      </w:r>
      <w:r>
        <w:t xml:space="preserve"> </w:t>
      </w:r>
      <w:r>
        <w:rPr>
          <w:b/>
          <w:bCs/>
        </w:rPr>
        <w:t xml:space="preserve">چندلایهٔ متخلخلِ تقویت‌شده با گرافن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بررسی</w:t>
      </w:r>
      <w:r>
        <w:t xml:space="preserve"> </w:t>
      </w:r>
      <w:r>
        <w:rPr>
          <w:b/>
          <w:bCs/>
        </w:rPr>
        <w:t xml:space="preserve">دما، تنش، کرنش و جابجایی</w:t>
      </w:r>
      <w:r>
        <w:t xml:space="preserve"> </w:t>
      </w:r>
      <w:r>
        <w:t xml:space="preserve">در فضای دوبعدی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کمّی‌سازی اثر</w:t>
      </w:r>
      <w:r>
        <w:t xml:space="preserve"> </w:t>
      </w:r>
      <w:r>
        <w:rPr>
          <w:b/>
          <w:bCs/>
        </w:rPr>
        <w:t xml:space="preserve">الگوهای پنج‌گانهٔ</w:t>
      </w:r>
      <w:r>
        <w:t xml:space="preserve"> </w:t>
      </w:r>
      <w:r>
        <w:t xml:space="preserve">گرافن و تخلخل (UD, O, X, V, A).</w:t>
      </w:r>
    </w:p>
    <w:p>
      <w:pPr>
        <w:pStyle w:val="Compact"/>
        <w:numPr>
          <w:ilvl w:val="0"/>
          <w:numId w:val="1003"/>
        </w:numPr>
      </w:pPr>
      <w:r>
        <w:t xml:space="preserve">مقایسهٔ</w:t>
      </w:r>
      <w:r>
        <w:t xml:space="preserve"> </w:t>
      </w:r>
      <w:r>
        <w:rPr>
          <w:b/>
          <w:bCs/>
        </w:rPr>
        <w:t xml:space="preserve">چهار تئوری</w:t>
      </w:r>
      <w:r>
        <w:t xml:space="preserve"> </w:t>
      </w:r>
      <w:r>
        <w:t xml:space="preserve">ترموالاستیسیته.</w:t>
      </w:r>
    </w:p>
    <w:p>
      <w:pPr>
        <w:pStyle w:val="Compact"/>
        <w:numPr>
          <w:ilvl w:val="0"/>
          <w:numId w:val="1003"/>
        </w:numPr>
      </w:pPr>
      <w:r>
        <w:t xml:space="preserve">ارائهٔ یک</w:t>
      </w:r>
      <w:r>
        <w:t xml:space="preserve"> </w:t>
      </w:r>
      <w:r>
        <w:rPr>
          <w:b/>
          <w:bCs/>
        </w:rPr>
        <w:t xml:space="preserve">توصیهٔ طراحی</w:t>
      </w:r>
      <w:r>
        <w:t xml:space="preserve"> </w:t>
      </w:r>
      <w:r>
        <w:t xml:space="preserve">برای حفاظت حرارتی.</w:t>
      </w:r>
    </w:p>
    <w:bookmarkEnd w:id="30"/>
    <w:bookmarkStart w:id="31" w:name="X686d68d25e1f4cdbe678f65a8d2c111394a44a7"/>
    <w:p>
      <w:pPr>
        <w:pStyle w:val="Heading1"/>
      </w:pPr>
      <w:r>
        <w:t xml:space="preserve">شکاف تحقیقاتی: حل ممزوج دوبعدی با ماتریس کامل الگوها</w:t>
      </w:r>
    </w:p>
    <w:p>
      <w:pPr>
        <w:pStyle w:val="Compact"/>
        <w:numPr>
          <w:ilvl w:val="0"/>
          <w:numId w:val="1004"/>
        </w:numPr>
      </w:pPr>
      <w:r>
        <w:t xml:space="preserve">مطالعات پیشین: هدایت</w:t>
      </w:r>
      <w:r>
        <w:t xml:space="preserve"> </w:t>
      </w:r>
      <w:r>
        <w:rPr>
          <w:b/>
          <w:bCs/>
        </w:rPr>
        <w:t xml:space="preserve">کلاسیک فوریه</w:t>
      </w:r>
      <w:r>
        <w:t xml:space="preserve">، یا حل</w:t>
      </w:r>
      <w:r>
        <w:t xml:space="preserve"> </w:t>
      </w:r>
      <w:r>
        <w:rPr>
          <w:b/>
          <w:bCs/>
        </w:rPr>
        <w:t xml:space="preserve">غیرممزوج</w:t>
      </w:r>
      <w:r>
        <w:t xml:space="preserve">، یا هندسهٔ</w:t>
      </w:r>
      <w:r>
        <w:t xml:space="preserve"> </w:t>
      </w:r>
      <w:r>
        <w:rPr>
          <w:b/>
          <w:bCs/>
        </w:rPr>
        <w:t xml:space="preserve">یک‌بعدی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اثر گرافن و تخلخل غالباً</w:t>
      </w:r>
      <w:r>
        <w:t xml:space="preserve"> </w:t>
      </w:r>
      <w:r>
        <w:rPr>
          <w:b/>
          <w:bCs/>
        </w:rPr>
        <w:t xml:space="preserve">جداگانه</w:t>
      </w:r>
      <w:r>
        <w:t xml:space="preserve"> </w:t>
      </w:r>
      <w:r>
        <w:t xml:space="preserve">بررسی شده است.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شکاف:</w:t>
      </w:r>
      <w:r>
        <w:t xml:space="preserve"> </w:t>
      </w:r>
      <w:r>
        <w:t xml:space="preserve">حل ممزوج لرد-شولمن برای استوانهٔ چندلایهٔ متخلخلِ گرافنی در دو بُعد، با</w:t>
      </w:r>
      <w:r>
        <w:t xml:space="preserve"> </w:t>
      </w:r>
      <w:r>
        <w:rPr>
          <w:b/>
          <w:bCs/>
        </w:rPr>
        <w:t xml:space="preserve">ماتریس کاملِ برهم‌کنش الگوها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اینجا اثبات می‌کنید «چرا کار شما تازه است». نام دو سه مرجعِ نزدیک را آماده داشته باشید و تفاوتتان را در یک جمله بگویید.</w:t>
      </w:r>
    </w:p>
    <w:bookmarkEnd w:id="31"/>
    <w:bookmarkStart w:id="35" w:name="X1a3eea8fe1f9506e17a9bf5c240dae08b4c5958"/>
    <w:p>
      <w:pPr>
        <w:pStyle w:val="Heading1"/>
      </w:pPr>
      <w:r>
        <w:t xml:space="preserve">استوانهٔ توخالیِ هفت‌لایه با خواص متغیر در ضخامت</w:t>
      </w:r>
    </w:p>
    <w:p>
      <w:pPr>
        <w:pStyle w:val="FirstParagraph"/>
      </w:pPr>
      <w:r>
        <w:drawing>
          <wp:inline>
            <wp:extent cx="5029200" cy="264981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figures_ch123/geometry_schemati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9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حالت-مرجع-و-شرایط-مرزی"/>
    <w:p>
      <w:pPr>
        <w:pStyle w:val="Heading1"/>
      </w:pPr>
      <w:r>
        <w:t xml:space="preserve">حالت مرجع و شرایط مرزی</w:t>
      </w:r>
    </w:p>
    <w:p>
      <w:pPr>
        <w:pStyle w:val="Compact"/>
        <w:numPr>
          <w:ilvl w:val="0"/>
          <w:numId w:val="1005"/>
        </w:numPr>
      </w:pPr>
      <w:r>
        <w:t xml:space="preserve">ابعاد: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m،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m، طول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t xml:space="preserve"> </w:t>
      </w:r>
      <w:r>
        <w:t xml:space="preserve">m.</w:t>
      </w:r>
    </w:p>
    <w:p>
      <w:pPr>
        <w:pStyle w:val="Compact"/>
        <w:numPr>
          <w:ilvl w:val="0"/>
          <w:numId w:val="1005"/>
        </w:numPr>
      </w:pPr>
      <w:r>
        <w:t xml:space="preserve">حرارت: سطح داخلی</w:t>
      </w:r>
      <w:r>
        <w:t xml:space="preserve"> </w:t>
      </w:r>
      <m:oMath>
        <m:r>
          <m:t>300</m:t>
        </m:r>
        <m:r>
          <m:rPr>
            <m:sty m:val="p"/>
          </m:rPr>
          <m:t>→</m:t>
        </m:r>
        <m:r>
          <m:t>600</m:t>
        </m:r>
      </m:oMath>
      <w:r>
        <w:t xml:space="preserve"> </w:t>
      </w:r>
      <w:r>
        <w:t xml:space="preserve">K؛ سطح خارجی همرفت با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W/m²K.</w:t>
      </w:r>
    </w:p>
    <w:p>
      <w:pPr>
        <w:pStyle w:val="Compact"/>
        <w:numPr>
          <w:ilvl w:val="0"/>
          <w:numId w:val="1005"/>
        </w:numPr>
      </w:pPr>
      <w:r>
        <w:t xml:space="preserve">مکانیک: فشار داخلی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MPa؛ انتهاها تکیه‌گاه ساده و عایق.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0.15</m:t>
        </m:r>
      </m:oMath>
      <w:r>
        <w:t xml:space="preserve"> </w:t>
      </w:r>
      <w:r>
        <w:t xml:space="preserve">(معادل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t xml:space="preserve"> </w:t>
      </w:r>
      <w:r>
        <w:t xml:space="preserve">s)؛ زمان کل ۳۰۰۰ ثانیه.</w:t>
      </w:r>
    </w:p>
    <w:p>
      <w:pPr>
        <w:pStyle w:val="Compact"/>
        <w:numPr>
          <w:ilvl w:val="0"/>
          <w:numId w:val="1005"/>
        </w:numPr>
      </w:pPr>
      <w:r>
        <w:t xml:space="preserve">خواص:</w:t>
      </w:r>
      <w:r>
        <w:t xml:space="preserve"> </w:t>
      </w:r>
      <w:r>
        <w:rPr>
          <w:b/>
          <w:bCs/>
        </w:rPr>
        <w:t xml:space="preserve">هالپین-تسای</w:t>
      </w:r>
      <w:r>
        <w:t xml:space="preserve"> </w:t>
      </w:r>
      <w:r>
        <w:t xml:space="preserve">+ قانون مخلوط‌ها؛ تخلخل:</w:t>
      </w:r>
      <w:r>
        <w:t xml:space="preserve"> </w:t>
      </w:r>
      <w:r>
        <w:rPr>
          <w:b/>
          <w:bCs/>
        </w:rPr>
        <w:t xml:space="preserve">سلول باز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تأکید: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پارامتر بی‌بعدِ اصلی است؛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t xml:space="preserve"> </w:t>
      </w:r>
      <w:r>
        <w:t xml:space="preserve">s مقیاس‌گذاریِ جدارهٔ ۰٫۵ متری است، نه خاصیتِ اندازه‌گیری‌شدهٔ یک ماده. اگر پرسیدند، بگویید این یک مطالعهٔ پارامتریِ بی‌بعد است.</w:t>
      </w:r>
    </w:p>
    <w:bookmarkEnd w:id="36"/>
    <w:bookmarkStart w:id="40" w:name="پنج-الگوی-توزیع-گرافن-در-ضخامت"/>
    <w:p>
      <w:pPr>
        <w:pStyle w:val="Heading1"/>
      </w:pPr>
      <w:r>
        <w:t xml:space="preserve">پنج الگوی توزیع گرافن در ضخامت</w:t>
      </w:r>
    </w:p>
    <w:p>
      <w:pPr>
        <w:pStyle w:val="FirstParagraph"/>
      </w:pPr>
      <w:r>
        <w:drawing>
          <wp:inline>
            <wp:extent cx="5029200" cy="388875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figures_ch123/GPL_patterns_schemati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8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پنج-الگوی-توزیع-تخلخل-در-ضخامت"/>
    <w:p>
      <w:pPr>
        <w:pStyle w:val="Heading1"/>
      </w:pPr>
      <w:r>
        <w:t xml:space="preserve">پنج الگوی توزیع تخلخل در ضخامت</w:t>
      </w:r>
    </w:p>
    <w:p>
      <w:pPr>
        <w:pStyle w:val="FirstParagraph"/>
      </w:pPr>
      <w:r>
        <w:drawing>
          <wp:inline>
            <wp:extent cx="5029200" cy="340368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figures_ch123/porosity_patterns_schemati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تأکید کنید V و A آینهٔ یکدیگرند — این نکته بعداً در یافتهٔ هم‌افزایی کلیدی می‌شود.</w:t>
      </w:r>
    </w:p>
    <w:bookmarkEnd w:id="44"/>
    <w:bookmarkStart w:id="45" w:name="معادله-انرژی-لرد-شولمن-گرما-بهصورت-موج"/>
    <w:p>
      <w:pPr>
        <w:pStyle w:val="Heading1"/>
      </w:pPr>
      <w:r>
        <w:t xml:space="preserve">معادلهٔ انرژی لرد-شولمن: گرما به‌صورت موج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جملهٔ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t xml:space="preserve"> </w:t>
      </w:r>
      <w:r>
        <w:t xml:space="preserve">معادله را</w:t>
      </w:r>
      <w:r>
        <w:t xml:space="preserve"> </w:t>
      </w:r>
      <w:r>
        <w:rPr>
          <w:b/>
          <w:bCs/>
        </w:rPr>
        <w:t xml:space="preserve">هذلولوی</w:t>
      </w:r>
      <w:r>
        <w:t xml:space="preserve"> </w:t>
      </w:r>
      <w:r>
        <w:t xml:space="preserve">می‌کند؛ سرعت موج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جملهٔ</w:t>
      </w:r>
      <w: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t xml:space="preserve"> </w:t>
      </w:r>
      <w:r>
        <w:rPr>
          <w:b/>
          <w:bCs/>
        </w:rPr>
        <w:t xml:space="preserve">پیوند ممزوج</w:t>
      </w:r>
      <w:r>
        <w:t xml:space="preserve"> </w:t>
      </w:r>
      <w:r>
        <w:t xml:space="preserve">دما و تغییرشکل است.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فوریهٔ کلاسیک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فقط همین یک معادله را نشان دهید. اگر جزئیات استخراج را خواستند، اسلاید پشتیبان (فصل ۳) را باز کنید.</w:t>
      </w:r>
    </w:p>
    <w:bookmarkEnd w:id="45"/>
    <w:bookmarkStart w:id="46" w:name="dqm-لایهای-نیومارک-۱۵-برابر-نقطه-کمتر"/>
    <w:p>
      <w:pPr>
        <w:pStyle w:val="Heading1"/>
      </w:pPr>
      <w:r>
        <w:t xml:space="preserve">DQM لایه‌ای + نیومارک: ۱۵ برابر نقطهٔ کمتر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مکان:</w:t>
      </w:r>
      <w:r>
        <w:t xml:space="preserve"> </w:t>
      </w:r>
      <w:r>
        <w:t xml:space="preserve">مربعات تفاضلی (DQM) لایه‌ای در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با نقاط چبیشف-گاوس-لوباتو.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زمان:</w:t>
      </w:r>
      <w:r>
        <w:t xml:space="preserve"> </w:t>
      </w:r>
      <w:r>
        <w:t xml:space="preserve">نیومارک (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،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 — بدون قید پایداری.</w:t>
      </w:r>
    </w:p>
    <w:p>
      <w:pPr>
        <w:pStyle w:val="Compact"/>
        <w:numPr>
          <w:ilvl w:val="0"/>
          <w:numId w:val="1007"/>
        </w:numPr>
      </w:pPr>
      <w:r>
        <w:t xml:space="preserve">شرایط مرزی و</w:t>
      </w:r>
      <w:r>
        <w:t xml:space="preserve"> </w:t>
      </w:r>
      <w:r>
        <w:rPr>
          <w:b/>
          <w:bCs/>
        </w:rPr>
        <w:t xml:space="preserve">سازگاری بین‌لایه‌ای</w:t>
      </w:r>
      <w:r>
        <w:t xml:space="preserve"> </w:t>
      </w:r>
      <w:r>
        <w:t xml:space="preserve">(دما، شار، جابجایی، تنش) به‌صورت سطرهای جبری.</w:t>
      </w:r>
    </w:p>
    <w:p>
      <w:pPr>
        <w:pStyle w:val="Compact"/>
        <w:numPr>
          <w:ilvl w:val="0"/>
          <w:numId w:val="1007"/>
        </w:numPr>
      </w:pPr>
      <w:r>
        <w:t xml:space="preserve">DQM در هر راستا حدود</w:t>
      </w:r>
      <w:r>
        <w:t xml:space="preserve"> </w:t>
      </w:r>
      <w:r>
        <w:rPr>
          <w:b/>
          <w:bCs/>
        </w:rPr>
        <w:t xml:space="preserve">۱۵ برابر</w:t>
      </w:r>
      <w:r>
        <w:t xml:space="preserve"> </w:t>
      </w:r>
      <w:r>
        <w:t xml:space="preserve">نقطهٔ کمتر از تفاضل محدود و اجزای محدود خطی.</w:t>
      </w:r>
    </w:p>
    <w:bookmarkEnd w:id="46"/>
    <w:bookmarkStart w:id="50" w:name="شبکه-dqm"/>
    <w:p>
      <w:pPr>
        <w:pStyle w:val="Heading1"/>
      </w:pPr>
      <w:r>
        <w:t xml:space="preserve">شبکهٔ DQM</w:t>
      </w:r>
    </w:p>
    <w:p>
      <w:pPr>
        <w:pStyle w:val="FirstParagraph"/>
      </w:pPr>
      <w:r>
        <w:drawing>
          <wp:inline>
            <wp:extent cx="5029200" cy="225018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figures_ch123/DQM_nodes_schematic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5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فلوچارت-حل"/>
    <w:p>
      <w:pPr>
        <w:pStyle w:val="Heading1"/>
      </w:pPr>
      <w:r>
        <w:t xml:space="preserve">فلوچارت حل</w:t>
      </w:r>
    </w:p>
    <w:p>
      <w:pPr>
        <w:pStyle w:val="FirstParagraph"/>
      </w:pPr>
      <w:r>
        <w:drawing>
          <wp:inline>
            <wp:extent cx="2726539" cy="420624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figures_ch123/solution_flowchar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539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اگر زمان کم است، این اسلاید و اسلاید قبل را حذف یا به پشتیبان ببرید.</w:t>
      </w:r>
    </w:p>
    <w:bookmarkEnd w:id="54"/>
    <w:bookmarkStart w:id="55" w:name="صحتسنجی-پنج-آزمون-مستقل"/>
    <w:p>
      <w:pPr>
        <w:pStyle w:val="Heading1"/>
      </w:pPr>
      <w:r>
        <w:t xml:space="preserve">صحت‌سنجی: پنج آزمون مستقل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حد استاتیکی</w:t>
      </w:r>
      <w:r>
        <w:t xml:space="preserve"> </w:t>
      </w:r>
      <w:r>
        <w:t xml:space="preserve">— حل‌گر استاتیکی مستقل: اختلاف نسبی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پاسخ مکانیکی</w:t>
      </w:r>
      <w:r>
        <w:t xml:space="preserve"> </w:t>
      </w:r>
      <w:r>
        <w:t xml:space="preserve">— ملک‌زاده و ANSYS: اختلاف</w:t>
      </w:r>
      <w:r>
        <w:t xml:space="preserve"> </w:t>
      </w:r>
      <w:r>
        <w:rPr>
          <w:b/>
          <w:bCs/>
        </w:rPr>
        <w:t xml:space="preserve">۰٫۱ تا ۰٫۲٪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هدایت گذرا</w:t>
      </w:r>
      <w:r>
        <w:t xml:space="preserve"> </w:t>
      </w:r>
      <w:r>
        <w:t xml:space="preserve">— حل دقیق سری بسل: خطای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تا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انتگرال‌گیر زمانی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ode15s</w:t>
      </w:r>
      <w:r>
        <w:t xml:space="preserve">: اختلاف</w:t>
      </w:r>
      <w:r>
        <w:t xml:space="preserve"> </w:t>
      </w:r>
      <w:r>
        <w:rPr>
          <w:b/>
          <w:bCs/>
        </w:rPr>
        <w:t xml:space="preserve">۰٫۰۰۳ 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موج صوت دوم</w:t>
      </w:r>
      <w:r>
        <w:t xml:space="preserve"> </w:t>
      </w:r>
      <w:r>
        <w:t xml:space="preserve">— حل دقیق تحلیلی: صحت‌سنجی</w:t>
      </w:r>
      <w:r>
        <w:t xml:space="preserve"> </w:t>
      </w:r>
      <w:r>
        <w:rPr>
          <w:b/>
          <w:bCs/>
        </w:rPr>
        <w:t xml:space="preserve">کمّی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 مهم‌ترین سپرِ دفاعی شماست. آرام و با اعتمادبه‌نفس بخوانید.</w:t>
      </w:r>
    </w:p>
    <w:bookmarkEnd w:id="55"/>
    <w:bookmarkStart w:id="59" w:name="X30c358227235641e9319ee109676bed9e95f11f"/>
    <w:p>
      <w:pPr>
        <w:pStyle w:val="Heading1"/>
      </w:pPr>
      <w:r>
        <w:t xml:space="preserve">آزمون ۲: جابجایی شعاعی با مرجع و ANSYS منطبق است</w:t>
      </w:r>
    </w:p>
    <w:p>
      <w:pPr>
        <w:pStyle w:val="FirstParagraph"/>
      </w:pPr>
      <w:r>
        <w:drawing>
          <wp:inline>
            <wp:extent cx="5029200" cy="359261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../Validation/bench1_U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جابجایی شعاعی بی‌بعد سطح داخلی در برابر زمان؛ حل حاضر، مرجع و ANSYS. اختلاف ۰٫۱ تا ۰٫۲٪.</w:t>
      </w:r>
    </w:p>
    <w:bookmarkEnd w:id="59"/>
    <w:bookmarkStart w:id="63" w:name="Xa688f80ea7480bd228ee6db98c9cd392fdfbd48"/>
    <w:p>
      <w:pPr>
        <w:pStyle w:val="Heading1"/>
      </w:pPr>
      <w:r>
        <w:t xml:space="preserve">آزمون ۳: پروفیل دما با حل دقیق بسل منطبق است</w:t>
      </w:r>
    </w:p>
    <w:p>
      <w:pPr>
        <w:pStyle w:val="FirstParagraph"/>
      </w:pPr>
      <w:r>
        <w:drawing>
          <wp:inline>
            <wp:extent cx="5029200" cy="348654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Validation/bench2_T_profil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نشانگرها حل حاضر و خط پیوسته حل دقیق سری بسل است؛ خطای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تا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bookmarkEnd w:id="63"/>
    <w:bookmarkStart w:id="67" w:name="X51916f61cb73211e4f1c695338bf0e65d6fa603"/>
    <w:p>
      <w:pPr>
        <w:pStyle w:val="Heading1"/>
      </w:pPr>
      <w:r>
        <w:t xml:space="preserve">موج صوت دوم: خطای ۰٫۳۲٪ در برابر حل دقیق تحلیلی</w:t>
      </w:r>
    </w:p>
    <w:p>
      <w:pPr>
        <w:pStyle w:val="Compact"/>
        <w:numPr>
          <w:ilvl w:val="0"/>
          <w:numId w:val="1009"/>
        </w:numPr>
      </w:pPr>
      <w:r>
        <w:t xml:space="preserve">مرجع: حل دقیق فوریه-بسل برای</w:t>
      </w:r>
      <w:r>
        <w:t xml:space="preserve"> </w:t>
      </w:r>
      <w:r>
        <w:rPr>
          <w:b/>
          <w:bCs/>
        </w:rPr>
        <w:t xml:space="preserve">همین هندسه</w:t>
      </w:r>
      <w:r>
        <w:t xml:space="preserve">؛ خطا</w:t>
      </w:r>
      <w:r>
        <w:t xml:space="preserve"> </w:t>
      </w:r>
      <m:oMath>
        <m:r>
          <m:t>0.32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) و</w:t>
      </w:r>
      <w:r>
        <w:t xml:space="preserve"> </w:t>
      </w:r>
      <m:oMath>
        <m:r>
          <m:t>0.065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خطا با ریزسازی شبکه</w:t>
      </w:r>
      <w:r>
        <w:t xml:space="preserve"> </w:t>
      </w:r>
      <w:r>
        <w:rPr>
          <w:b/>
          <w:bCs/>
        </w:rPr>
        <w:t xml:space="preserve">یکنواخت کاهش</w:t>
      </w:r>
      <w:r>
        <w:t xml:space="preserve"> </w:t>
      </w:r>
      <w:r>
        <w:t xml:space="preserve">می‌یابد ← نوسان‌های پشت پیشانی</w:t>
      </w:r>
      <w:r>
        <w:t xml:space="preserve"> </w:t>
      </w:r>
      <w:r>
        <w:rPr>
          <w:b/>
          <w:bCs/>
        </w:rPr>
        <w:t xml:space="preserve">اثر گیبس</w:t>
      </w:r>
      <w:r>
        <w:t xml:space="preserve"> </w:t>
      </w:r>
      <w:r>
        <w:t xml:space="preserve">است، نه ناپایداری.</w:t>
      </w:r>
    </w:p>
    <w:p>
      <w:pPr>
        <w:pStyle w:val="FirstParagraph"/>
      </w:pPr>
      <w:r>
        <w:drawing>
          <wp:inline>
            <wp:extent cx="5029200" cy="215415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./figures_validation/ls_wave_validation_R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اگر پرسیدند «چرا مرجع تحلیلی و نه مقالهٔ چاپ‌شده؟» بگویید: حل دقیق برای همین هندسه استخراج شده، پس مقایسه بدون خطای رقمی‌سازیِ شکلِ مرجع و بدون اختلاف در فرضیات انجام می‌شود. پیشانی موج با دقت کمتر از یک فاصلهٔ شبکه ردیابی می‌شود.</w:t>
      </w:r>
    </w:p>
    <w:bookmarkEnd w:id="67"/>
    <w:bookmarkStart w:id="71" w:name="مش-قفلشده-n_r15-n_z11-n_l7"/>
    <w:p>
      <w:pPr>
        <w:pStyle w:val="Heading1"/>
      </w:pPr>
      <w:r>
        <w:t xml:space="preserve">مش قفل‌شده: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،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،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</w:p>
    <w:p>
      <w:pPr>
        <w:pStyle w:val="FirstParagraph"/>
      </w:pPr>
      <w:r>
        <w:drawing>
          <wp:inline>
            <wp:extent cx="5029200" cy="380554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figures_ch4_color/conv_maste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0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راستای محوری راستای مقیدکننده است.</w:t>
      </w:r>
    </w:p>
    <w:bookmarkEnd w:id="71"/>
    <w:bookmarkStart w:id="75" w:name="X9483acd9bc1a2dd7d1160d7ace2b440281577dd"/>
    <w:p>
      <w:pPr>
        <w:pStyle w:val="Heading1"/>
      </w:pPr>
      <w:r>
        <w:t xml:space="preserve">نتیجه ۱: دمای میان‌جداری از مقدار محرک فراتر می‌رود (۱٫۱۱۵)</w:t>
      </w:r>
    </w:p>
    <w:p>
      <w:pPr>
        <w:pStyle w:val="Compact"/>
        <w:numPr>
          <w:ilvl w:val="0"/>
          <w:numId w:val="1010"/>
        </w:numPr>
      </w:pPr>
      <w:r>
        <w:t xml:space="preserve">تا</w:t>
      </w:r>
      <w:r>
        <w:t xml:space="preserve"> </w:t>
      </w:r>
      <w:r>
        <w:rPr>
          <w:b/>
          <w:bCs/>
        </w:rPr>
        <w:t xml:space="preserve">۱٫۱۱۵</w:t>
      </w:r>
      <w:r>
        <w:t xml:space="preserve"> </w:t>
      </w:r>
      <w:r>
        <w:t xml:space="preserve">در کسر وزنی بالای گرافن و</w:t>
      </w:r>
      <w:r>
        <w:t xml:space="preserve"> </w:t>
      </w:r>
      <w:r>
        <w:rPr>
          <w:b/>
          <w:bCs/>
        </w:rPr>
        <w:t xml:space="preserve">۱٫۱۰۹</w:t>
      </w:r>
      <w:r>
        <w:t xml:space="preserve"> </w:t>
      </w:r>
      <w:r>
        <w:t xml:space="preserve">در تخلخل V؛ الگوی «قله-قعر» از بازتاب موج.</w:t>
      </w:r>
    </w:p>
    <w:p>
      <w:pPr>
        <w:pStyle w:val="Compact"/>
        <w:numPr>
          <w:ilvl w:val="0"/>
          <w:numId w:val="1010"/>
        </w:numPr>
      </w:pPr>
      <w:r>
        <w:t xml:space="preserve">در مدل کلاسیک</w:t>
      </w:r>
      <w:r>
        <w:t xml:space="preserve"> </w:t>
      </w:r>
      <w:r>
        <w:rPr>
          <w:b/>
          <w:bCs/>
        </w:rPr>
        <w:t xml:space="preserve">قابل بازتولید نیست</w:t>
      </w:r>
      <w:r>
        <w:t xml:space="preserve">.</w:t>
      </w:r>
    </w:p>
    <w:p>
      <w:pPr>
        <w:pStyle w:val="FirstParagraph"/>
      </w:pPr>
      <w:r>
        <w:drawing>
          <wp:inline>
            <wp:extent cx="5029200" cy="310941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../figures_ch4_color/C_relaxa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Xf777d7e1e30d0b95cc8da8e2e8310b02b9821c5"/>
    <w:p>
      <w:pPr>
        <w:pStyle w:val="Heading1"/>
      </w:pPr>
      <w:r>
        <w:t xml:space="preserve">نتیجه ۲: گرافن V دما را ۲۹٪ و تنش را تا ۳ برابر کم می‌کند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</w:t>
      </w:r>
      <w:r>
        <w:t xml:space="preserve"> </w:t>
      </w:r>
      <w:r>
        <w:t xml:space="preserve">(رسانا در سطح داخلیِ گرم): دمای بیشینه</w:t>
      </w:r>
      <w:r>
        <w:t xml:space="preserve"> </w:t>
      </w:r>
      <w:r>
        <w:rPr>
          <w:b/>
          <w:bCs/>
        </w:rPr>
        <w:t xml:space="preserve">۲۹٪</w:t>
      </w:r>
      <w:r>
        <w:t xml:space="preserve"> </w:t>
      </w:r>
      <w:r>
        <w:t xml:space="preserve">کمتر؛ تنش محیطی داخلی تا</w:t>
      </w:r>
      <w:r>
        <w:t xml:space="preserve"> </w:t>
      </w:r>
      <w:r>
        <w:rPr>
          <w:b/>
          <w:bCs/>
        </w:rPr>
        <w:t xml:space="preserve">۳ برابر</w:t>
      </w:r>
      <w:r>
        <w:t xml:space="preserve"> </w:t>
      </w:r>
      <w:r>
        <w:t xml:space="preserve">کمتر.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(آینهٔ V)</w:t>
      </w:r>
      <w:r>
        <w:t xml:space="preserve"> </w:t>
      </w:r>
      <w:r>
        <w:rPr>
          <w:b/>
          <w:bCs/>
        </w:rPr>
        <w:t xml:space="preserve">بدترین</w:t>
      </w:r>
      <w:r>
        <w:t xml:space="preserve"> </w:t>
      </w:r>
      <w:r>
        <w:t xml:space="preserve">حالت در هر سه کمیت است.</w:t>
      </w:r>
    </w:p>
    <w:p>
      <w:pPr>
        <w:pStyle w:val="FirstParagraph"/>
      </w:pPr>
      <w:r>
        <w:drawing>
          <wp:inline>
            <wp:extent cx="5029200" cy="3109417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../figures_ch4_color/A_GPL_pattern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a1e104905a21ce27a9ab3fdf93d301d4f1308bd"/>
    <w:p>
      <w:pPr>
        <w:pStyle w:val="Heading1"/>
      </w:pPr>
      <w:r>
        <w:t xml:space="preserve">نتیجه ۳: تخلخل A همچون سد حرارتی، دمای سطح خارجی را ۸ برابر کم می‌کند</w:t>
      </w:r>
    </w:p>
    <w:p>
      <w:pPr>
        <w:pStyle w:val="Compact"/>
        <w:numPr>
          <w:ilvl w:val="0"/>
          <w:numId w:val="1012"/>
        </w:numPr>
      </w:pPr>
      <w:r>
        <w:t xml:space="preserve">حفره‌ها در سطح خارجی</w:t>
      </w:r>
      <w:r>
        <w:t xml:space="preserve"> </w:t>
      </w:r>
      <w:r>
        <w:rPr>
          <w:b/>
          <w:bCs/>
        </w:rPr>
        <w:t xml:space="preserve">سد حرارتی</w:t>
      </w:r>
      <w:r>
        <w:t xml:space="preserve"> </w:t>
      </w:r>
      <w:r>
        <w:t xml:space="preserve">می‌سازند؛ اما</w:t>
      </w:r>
      <w:r>
        <w:t xml:space="preserve"> </w:t>
      </w:r>
      <w:r>
        <w:rPr>
          <w:b/>
          <w:bCs/>
        </w:rPr>
        <w:t xml:space="preserve">علامت</w:t>
      </w:r>
      <w:r>
        <w:t xml:space="preserve"> </w:t>
      </w:r>
      <w:r>
        <w:t xml:space="preserve">تنش محیطی داخلی را وارون می‌کنند.</w:t>
      </w:r>
    </w:p>
    <w:p>
      <w:pPr>
        <w:pStyle w:val="Compact"/>
        <w:numPr>
          <w:ilvl w:val="0"/>
          <w:numId w:val="1012"/>
        </w:numPr>
      </w:pPr>
      <w:r>
        <w:t xml:space="preserve">الگوی V بیشترین قلهٔ گذرا را دارد (</w:t>
      </w:r>
      <w:r>
        <w:rPr>
          <w:b/>
          <w:bCs/>
        </w:rPr>
        <w:t xml:space="preserve">۱٫۱۱</w:t>
      </w:r>
      <w:r>
        <w:t xml:space="preserve">).</w:t>
      </w:r>
    </w:p>
    <w:p>
      <w:pPr>
        <w:pStyle w:val="FirstParagraph"/>
      </w:pPr>
      <w:r>
        <w:drawing>
          <wp:inline>
            <wp:extent cx="4734797" cy="329184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../figures_ch4_color/B_porosity_pattern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97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X9f09d9b65103a55903723c10dc1af1ae281e6d1"/>
    <w:p>
      <w:pPr>
        <w:pStyle w:val="Heading1"/>
      </w:pPr>
      <w:r>
        <w:t xml:space="preserve">نتیجه ۴ ★: گرافن V + تخلخل A هم‌افزاست — تا ۲۶ برابر کاهش دما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هم‌افزا:</w:t>
      </w:r>
      <w:r>
        <w:t xml:space="preserve"> </w:t>
      </w:r>
      <w:r>
        <w:t xml:space="preserve">V-گرافن با A-تخلخل</w:t>
      </w:r>
      <w:r>
        <w:t xml:space="preserve"> </w:t>
      </w:r>
      <m:oMath>
        <m:r>
          <m:rPr>
            <m:sty m:val="p"/>
          </m:rPr>
          <m:t>→</m:t>
        </m:r>
        <m:r>
          <m:t>0.034</m:t>
        </m:r>
      </m:oMath>
      <w:r>
        <w:t xml:space="preserve">؛</w:t>
      </w:r>
      <w:r>
        <w:t xml:space="preserve"> </w:t>
      </w:r>
      <w:r>
        <w:rPr>
          <w:b/>
          <w:bCs/>
        </w:rPr>
        <w:t xml:space="preserve">خنثی‌کننده:</w:t>
      </w:r>
      <w:r>
        <w:t xml:space="preserve"> </w:t>
      </w:r>
      <w:r>
        <w:t xml:space="preserve">V-گرافن با V-تخلخل</w:t>
      </w:r>
      <w:r>
        <w:t xml:space="preserve"> </w:t>
      </w:r>
      <m:oMath>
        <m:r>
          <m:rPr>
            <m:sty m:val="p"/>
          </m:rPr>
          <m:t>→</m:t>
        </m:r>
        <m:r>
          <m:t>0.692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هم‌راستایی یا تقابل دو الگو</w:t>
      </w:r>
      <w:r>
        <w:t xml:space="preserve"> </w:t>
      </w:r>
      <w:r>
        <w:t xml:space="preserve">تعیین‌کننده است، نه انتخاب یک الگوی «خوب».</w:t>
      </w:r>
    </w:p>
    <w:p>
      <w:pPr>
        <w:pStyle w:val="FirstParagraph"/>
      </w:pPr>
      <w:r>
        <w:drawing>
          <wp:inline>
            <wp:extent cx="4374107" cy="32004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./figures_ch4_color/matrix25_T_xi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07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 مهم‌ترین یافتهٔ پایان‌نامه است. اینجا سرعت را کم کنید، جمله‌بندی را دقیق بگویید و توصیهٔ طراحی را صریح اعلام کنید.</w:t>
      </w:r>
    </w:p>
    <w:bookmarkEnd w:id="87"/>
    <w:bookmarkStart w:id="91" w:name="نتیجه-۵-آستانه-پرکولاسیون-در-کسر-وزنی-۱"/>
    <w:p>
      <w:pPr>
        <w:pStyle w:val="Heading1"/>
      </w:pPr>
      <w:r>
        <w:t xml:space="preserve">نتیجه ۵: آستانهٔ پرکولاسیون در کسر وزنی ≈ ۱٪</w:t>
      </w:r>
    </w:p>
    <w:p>
      <w:pPr>
        <w:pStyle w:val="Compact"/>
        <w:numPr>
          <w:ilvl w:val="0"/>
          <w:numId w:val="1014"/>
        </w:numPr>
      </w:pPr>
      <w:r>
        <w:t xml:space="preserve">گذر از «عایق» به «رسانا»؛ بیشتر از آن، نفوذ حرارتی فقط</w:t>
      </w:r>
      <w:r>
        <w:t xml:space="preserve"> </w:t>
      </w:r>
      <w:r>
        <w:rPr>
          <w:b/>
          <w:bCs/>
        </w:rPr>
        <w:t xml:space="preserve">هموار</w:t>
      </w:r>
      <w:r>
        <w:t xml:space="preserve"> </w:t>
      </w:r>
      <w:r>
        <w:t xml:space="preserve">بهتر می‌شود اما</w:t>
      </w:r>
      <w:r>
        <w:t xml:space="preserve"> </w:t>
      </w:r>
      <w:r>
        <w:rPr>
          <w:b/>
          <w:bCs/>
        </w:rPr>
        <w:t xml:space="preserve">تنش حرارتی دو برابر</w:t>
      </w:r>
      <w:r>
        <w:t xml:space="preserve"> </w:t>
      </w:r>
      <w:r>
        <w:t xml:space="preserve">می‌شود (در ۸٪).</w:t>
      </w:r>
    </w:p>
    <w:p>
      <w:pPr>
        <w:pStyle w:val="Compact"/>
        <w:numPr>
          <w:ilvl w:val="0"/>
          <w:numId w:val="1014"/>
        </w:numPr>
      </w:pPr>
      <w:r>
        <w:t xml:space="preserve">نسبت ابعادی پلاکت اثر</w:t>
      </w:r>
      <w:r>
        <w:t xml:space="preserve"> </w:t>
      </w:r>
      <w:r>
        <w:rPr>
          <w:b/>
          <w:bCs/>
        </w:rPr>
        <w:t xml:space="preserve">درجهٔ دوم</w:t>
      </w:r>
      <w:r>
        <w:t xml:space="preserve"> </w:t>
      </w:r>
      <w:r>
        <w:t xml:space="preserve">دارد (تنش &lt; ۲٪).</w:t>
      </w:r>
    </w:p>
    <w:p>
      <w:pPr>
        <w:pStyle w:val="FirstParagraph"/>
      </w:pPr>
      <w:r>
        <w:drawing>
          <wp:inline>
            <wp:extent cx="4734797" cy="329184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figures_ch4_color/D_wt_low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97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Xd24f888e2227fee60aac59a7e84edcf826c2c0e"/>
    <w:p>
      <w:pPr>
        <w:pStyle w:val="Heading1"/>
      </w:pPr>
      <w:r>
        <w:t xml:space="preserve">نتیجه ۶: در شوک گاوسی، فوریه دما را ۲٫۵ برابر کم‌برآورد می‌کند</w:t>
      </w:r>
    </w:p>
    <w:p>
      <w:pPr>
        <w:pStyle w:val="Compact"/>
        <w:numPr>
          <w:ilvl w:val="0"/>
          <w:numId w:val="1015"/>
        </w:numPr>
      </w:pPr>
      <w:r>
        <w:t xml:space="preserve">مدل کلاسیک در شوک کوتاه‌مدت</w:t>
      </w:r>
      <w:r>
        <w:t xml:space="preserve"> </w:t>
      </w:r>
      <w:r>
        <w:rPr>
          <w:b/>
          <w:bCs/>
        </w:rPr>
        <w:t xml:space="preserve">غیرمحافظه‌کارانه</w:t>
      </w:r>
      <w:r>
        <w:t xml:space="preserve"> </w:t>
      </w:r>
      <w:r>
        <w:t xml:space="preserve">است.</w:t>
      </w:r>
    </w:p>
    <w:p>
      <w:pPr>
        <w:pStyle w:val="Compact"/>
        <w:numPr>
          <w:ilvl w:val="0"/>
          <w:numId w:val="1015"/>
        </w:numPr>
      </w:pPr>
      <w:r>
        <w:t xml:space="preserve">حل ممزوج موج را حدود</w:t>
      </w:r>
      <w:r>
        <w:t xml:space="preserve"> </w:t>
      </w:r>
      <w:r>
        <w:rPr>
          <w:b/>
          <w:bCs/>
        </w:rPr>
        <w:t xml:space="preserve">۱٪</w:t>
      </w:r>
      <w:r>
        <w:t xml:space="preserve"> </w:t>
      </w:r>
      <w:r>
        <w:t xml:space="preserve">میرا می‌کند (میرایی ترموالاستیک).</w:t>
      </w:r>
    </w:p>
    <w:p>
      <w:pPr>
        <w:pStyle w:val="FirstParagraph"/>
      </w:pPr>
      <w:r>
        <w:drawing>
          <wp:inline>
            <wp:extent cx="4734797" cy="329184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../figures_ch4_color/M_gauss_shoc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97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یادداشت ارائه:</w:t>
      </w:r>
      <w:r>
        <w:t xml:space="preserve"> </w:t>
      </w:r>
      <w:r>
        <w:t xml:space="preserve">این قوی‌ترین استدلال شما به سود تئوری تعمیم‌یافته است.</w:t>
      </w:r>
    </w:p>
    <w:bookmarkEnd w:id="95"/>
    <w:bookmarkStart w:id="99" w:name="نتیجه-۷-مقایسه-چهار-تئوری-ترموالاستیسیته"/>
    <w:p>
      <w:pPr>
        <w:pStyle w:val="Heading1"/>
      </w:pPr>
      <w:r>
        <w:t xml:space="preserve">نتیجه ۷: مقایسهٔ چهار تئوری ترموالاستیسیته</w:t>
      </w:r>
    </w:p>
    <w:p>
      <w:pPr>
        <w:pStyle w:val="Compact"/>
        <w:numPr>
          <w:ilvl w:val="0"/>
          <w:numId w:val="1016"/>
        </w:numPr>
      </w:pPr>
      <w:r>
        <w:t xml:space="preserve">فوریه / لرد-شولمن / DPL / گرین-نگدی III؛ تباهیدگی DPL در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؛ فراجهش ماندگار GN-III.</w:t>
      </w:r>
    </w:p>
    <w:p>
      <w:pPr>
        <w:pStyle w:val="FirstParagraph"/>
      </w:pPr>
      <w:r>
        <w:drawing>
          <wp:inline>
            <wp:extent cx="4997842" cy="3474719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../figures_ch4_color/T3_theorie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842" cy="347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نوآوریهای-پژوهش"/>
    <w:p>
      <w:pPr>
        <w:pStyle w:val="Heading1"/>
      </w:pPr>
      <w:r>
        <w:t xml:space="preserve">نوآوری‌های پژوهش</w:t>
      </w:r>
    </w:p>
    <w:p>
      <w:pPr>
        <w:pStyle w:val="Compact"/>
        <w:numPr>
          <w:ilvl w:val="0"/>
          <w:numId w:val="1017"/>
        </w:numPr>
      </w:pPr>
      <w:r>
        <w:t xml:space="preserve">حل</w:t>
      </w:r>
      <w:r>
        <w:t xml:space="preserve"> </w:t>
      </w:r>
      <w:r>
        <w:rPr>
          <w:b/>
          <w:bCs/>
        </w:rPr>
        <w:t xml:space="preserve">کاملاً ممزوج</w:t>
      </w:r>
      <w:r>
        <w:t xml:space="preserve"> </w:t>
      </w:r>
      <w:r>
        <w:t xml:space="preserve">لرد-شولمن برای استوانهٔ چندلایهٔ متخلخلِ گرافنی با DQM لایه‌ایِ دوبعدی.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برهم‌کنش هم‌افزای V-گرافن و A-تخلخل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ماتریس کامل ۵×۵</w:t>
      </w:r>
      <w:r>
        <w:t xml:space="preserve"> </w:t>
      </w:r>
      <w:r>
        <w:t xml:space="preserve">که در مراجع پیشین همتا ندارد.</w:t>
      </w:r>
    </w:p>
    <w:p>
      <w:pPr>
        <w:pStyle w:val="Compact"/>
        <w:numPr>
          <w:ilvl w:val="0"/>
          <w:numId w:val="1017"/>
        </w:numPr>
      </w:pPr>
      <w:r>
        <w:t xml:space="preserve">رفتار</w:t>
      </w:r>
      <w:r>
        <w:t xml:space="preserve"> </w:t>
      </w:r>
      <w:r>
        <w:rPr>
          <w:b/>
          <w:bCs/>
        </w:rPr>
        <w:t xml:space="preserve">«قله-قعر»</w:t>
      </w:r>
      <w:r>
        <w:t xml:space="preserve"> </w:t>
      </w:r>
      <w:r>
        <w:t xml:space="preserve">و آینه‌ایِ الگوها و پیوند آن با سرشت موجی هدایت.</w:t>
      </w:r>
    </w:p>
    <w:p>
      <w:pPr>
        <w:pStyle w:val="Compact"/>
        <w:numPr>
          <w:ilvl w:val="0"/>
          <w:numId w:val="1017"/>
        </w:numPr>
      </w:pPr>
      <w:r>
        <w:t xml:space="preserve">سه مطالعهٔ گسترشی: شش انتگرال‌گیر زمانی، چهار روش مکانی، چهار تئوری.</w:t>
      </w:r>
    </w:p>
    <w:p>
      <w:pPr>
        <w:pStyle w:val="Compact"/>
        <w:numPr>
          <w:ilvl w:val="0"/>
          <w:numId w:val="1017"/>
        </w:numPr>
      </w:pPr>
      <w:r>
        <w:t xml:space="preserve">صحت‌سنجی</w:t>
      </w:r>
      <w:r>
        <w:t xml:space="preserve"> </w:t>
      </w:r>
      <w:r>
        <w:rPr>
          <w:b/>
          <w:bCs/>
        </w:rPr>
        <w:t xml:space="preserve">کمّی</w:t>
      </w:r>
      <w:r>
        <w:t xml:space="preserve"> </w:t>
      </w:r>
      <w:r>
        <w:t xml:space="preserve">موج صوت دوم در برابر حل دقیق تحلیلی.</w:t>
      </w:r>
    </w:p>
    <w:bookmarkEnd w:id="100"/>
    <w:bookmarkStart w:id="101" w:name="نتیجهگیری"/>
    <w:p>
      <w:pPr>
        <w:pStyle w:val="Heading1"/>
      </w:pPr>
      <w:r>
        <w:t xml:space="preserve">نتیجه‌گیری</w:t>
      </w:r>
    </w:p>
    <w:p>
      <w:pPr>
        <w:pStyle w:val="Compact"/>
        <w:numPr>
          <w:ilvl w:val="0"/>
          <w:numId w:val="1018"/>
        </w:numPr>
      </w:pPr>
      <w:r>
        <w:t xml:space="preserve">برای</w:t>
      </w:r>
      <w:r>
        <w:t xml:space="preserve"> </w:t>
      </w:r>
      <w:r>
        <w:rPr>
          <w:b/>
          <w:bCs/>
        </w:rPr>
        <w:t xml:space="preserve">شوک حرارتی گذرا</w:t>
      </w:r>
      <w:r>
        <w:t xml:space="preserve">، لرد-شولمن</w:t>
      </w:r>
      <w:r>
        <w:t xml:space="preserve"> </w:t>
      </w:r>
      <w:r>
        <w:rPr>
          <w:b/>
          <w:bCs/>
        </w:rPr>
        <w:t xml:space="preserve">ضروری</w:t>
      </w:r>
      <w:r>
        <w:t xml:space="preserve"> </w:t>
      </w:r>
      <w:r>
        <w:t xml:space="preserve">است؛ فوریه دما و تنش گذرا را به‌شدت کم‌برآورد می‌کند.</w:t>
      </w:r>
    </w:p>
    <w:p>
      <w:pPr>
        <w:pStyle w:val="Compact"/>
        <w:numPr>
          <w:ilvl w:val="0"/>
          <w:numId w:val="1018"/>
        </w:numPr>
      </w:pPr>
      <w:r>
        <w:t xml:space="preserve">از دیدگاه طراحی،</w:t>
      </w:r>
      <w:r>
        <w:t xml:space="preserve"> </w:t>
      </w:r>
      <w:r>
        <w:rPr>
          <w:b/>
          <w:bCs/>
        </w:rPr>
        <w:t xml:space="preserve">هم‌راستاسازی گرافن و تخلخل (V-A)</w:t>
      </w:r>
      <w:r>
        <w:t xml:space="preserve"> </w:t>
      </w:r>
      <w:r>
        <w:t xml:space="preserve">بهترین رفتار حرارتی را با کمترین جریمهٔ تنش می‌دهد.</w:t>
      </w:r>
    </w:p>
    <w:p>
      <w:pPr>
        <w:pStyle w:val="Compact"/>
        <w:numPr>
          <w:ilvl w:val="0"/>
          <w:numId w:val="1018"/>
        </w:numPr>
      </w:pPr>
      <w:r>
        <w:t xml:space="preserve">انتخاب الگو باید</w:t>
      </w:r>
      <w:r>
        <w:t xml:space="preserve"> </w:t>
      </w:r>
      <w:r>
        <w:rPr>
          <w:b/>
          <w:bCs/>
        </w:rPr>
        <w:t xml:space="preserve">هم‌زمان</w:t>
      </w:r>
      <w:r>
        <w:t xml:space="preserve"> </w:t>
      </w:r>
      <w:r>
        <w:t xml:space="preserve">از منظر دما و تنش سنجیده شود.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DQM لایه‌ای + نیومارک</w:t>
      </w:r>
      <w:r>
        <w:t xml:space="preserve"> </w:t>
      </w:r>
      <w:r>
        <w:t xml:space="preserve">ابزاری کارآمد و صحت‌سنجی‌شده است.</w:t>
      </w:r>
    </w:p>
    <w:bookmarkEnd w:id="101"/>
    <w:bookmarkStart w:id="102" w:name="محدودیتها-و-پیشنهادها"/>
    <w:p>
      <w:pPr>
        <w:pStyle w:val="Heading1"/>
      </w:pPr>
      <w:r>
        <w:t xml:space="preserve">محدودیت‌ها و پیشنهادها</w:t>
      </w:r>
    </w:p>
    <w:p>
      <w:pPr>
        <w:pStyle w:val="FirstParagraph"/>
      </w:pPr>
      <w:r>
        <w:rPr>
          <w:b/>
          <w:bCs/>
        </w:rPr>
        <w:t xml:space="preserve">محدودیت‌ها</w:t>
      </w:r>
    </w:p>
    <w:p>
      <w:pPr>
        <w:pStyle w:val="Compact"/>
        <w:numPr>
          <w:ilvl w:val="0"/>
          <w:numId w:val="1019"/>
        </w:numPr>
      </w:pPr>
      <w:r>
        <w:t xml:space="preserve">خواص مادی</w:t>
      </w:r>
      <w:r>
        <w:t xml:space="preserve"> </w:t>
      </w:r>
      <w:r>
        <w:rPr>
          <w:b/>
          <w:bCs/>
        </w:rPr>
        <w:t xml:space="preserve">مستقل از دما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مدل</w:t>
      </w:r>
      <w:r>
        <w:t xml:space="preserve"> </w:t>
      </w:r>
      <w:r>
        <w:rPr>
          <w:b/>
          <w:bCs/>
        </w:rPr>
        <w:t xml:space="preserve">الاستیک خطی</w:t>
      </w:r>
      <w:r>
        <w:t xml:space="preserve">، بدون معیار آسیب/شکست.</w:t>
      </w:r>
    </w:p>
    <w:p>
      <w:pPr>
        <w:pStyle w:val="Compact"/>
        <w:numPr>
          <w:ilvl w:val="0"/>
          <w:numId w:val="1019"/>
        </w:numPr>
      </w:pPr>
      <w:r>
        <w:t xml:space="preserve">پیوند</w:t>
      </w:r>
      <w:r>
        <w:t xml:space="preserve"> </w:t>
      </w:r>
      <w:r>
        <w:rPr>
          <w:b/>
          <w:bCs/>
        </w:rPr>
        <w:t xml:space="preserve">کامل</w:t>
      </w:r>
      <w:r>
        <w:t xml:space="preserve"> </w:t>
      </w:r>
      <w:r>
        <w:t xml:space="preserve">بین‌لایه‌ای (بدون مقاومت حرارتی فصل‌مشترک).</w:t>
      </w:r>
    </w:p>
    <w:p>
      <w:pPr>
        <w:pStyle w:val="FirstParagraph"/>
      </w:pPr>
      <w:r>
        <w:rPr>
          <w:b/>
          <w:bCs/>
        </w:rPr>
        <w:t xml:space="preserve">پیشنهادها</w:t>
      </w:r>
    </w:p>
    <w:p>
      <w:pPr>
        <w:pStyle w:val="Compact"/>
        <w:numPr>
          <w:ilvl w:val="0"/>
          <w:numId w:val="1020"/>
        </w:numPr>
      </w:pPr>
      <w:r>
        <w:t xml:space="preserve">وابستگی خواص به دما و رفتار</w:t>
      </w:r>
      <w:r>
        <w:t xml:space="preserve"> </w:t>
      </w:r>
      <w:r>
        <w:rPr>
          <w:b/>
          <w:bCs/>
        </w:rPr>
        <w:t xml:space="preserve">غیرخطی/آسیب</w:t>
      </w:r>
      <w:r>
        <w:t xml:space="preserve">؛</w:t>
      </w:r>
      <w:r>
        <w:t xml:space="preserve"> </w:t>
      </w:r>
      <w:r>
        <w:rPr>
          <w:b/>
          <w:bCs/>
        </w:rPr>
        <w:t xml:space="preserve">مقاومت حرارتی فصل‌مشترک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صحت‌سنجی تجربی</w:t>
      </w:r>
      <w:r>
        <w:t xml:space="preserve"> </w:t>
      </w:r>
      <w:r>
        <w:t xml:space="preserve">و نمودار طراحیِ مهندسی بر پایهٔ یافتهٔ V-A.</w:t>
      </w:r>
    </w:p>
    <w:bookmarkEnd w:id="102"/>
    <w:bookmarkStart w:id="103" w:name="با-تشکر-از-توجه-شما"/>
    <w:p>
      <w:pPr>
        <w:pStyle w:val="Heading1"/>
      </w:pPr>
      <w:r>
        <w:t xml:space="preserve">با تشکر از توجه شما</w:t>
      </w:r>
    </w:p>
    <w:p>
      <w:pPr>
        <w:pStyle w:val="FirstParagraph"/>
      </w:pPr>
      <w:r>
        <w:t xml:space="preserve">پرسش و پاسخ</w:t>
      </w:r>
    </w:p>
    <w:bookmarkEnd w:id="103"/>
    <w:bookmarkStart w:id="104" w:name="اسلایدهای-پشتیبان"/>
    <w:p>
      <w:pPr>
        <w:pStyle w:val="Heading1"/>
      </w:pPr>
      <w:r>
        <w:t xml:space="preserve">اسلایدهای پشتیبان</w:t>
      </w:r>
    </w:p>
    <w:bookmarkEnd w:id="104"/>
    <w:bookmarkStart w:id="108" w:name="پشتیبان-۱-آزمون-۱-حد-استاتیکی-شکل-۴-۵"/>
    <w:p>
      <w:pPr>
        <w:pStyle w:val="Heading1"/>
      </w:pPr>
      <w:r>
        <w:t xml:space="preserve">پشتیبان ۱ — آزمون ۱: حد استاتیکی (شکل ۴-۵)</w:t>
      </w:r>
    </w:p>
    <w:p>
      <w:pPr>
        <w:pStyle w:val="Compact"/>
        <w:numPr>
          <w:ilvl w:val="0"/>
          <w:numId w:val="1021"/>
        </w:numPr>
      </w:pPr>
      <w:r>
        <w:t xml:space="preserve">۴۵ نقطهٔ شعاعی؛ بیشینهٔ اختلاف مطلق</w:t>
      </w:r>
      <w: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m و نسبی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FirstParagraph"/>
      </w:pPr>
      <w:r>
        <w:drawing>
          <wp:inline>
            <wp:extent cx="5029200" cy="3110291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../figures_validation/verif_test1_static_R3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2" w:name="Xe5f49db26db7768294e51aa875c57b0c372d90a"/>
    <w:p>
      <w:pPr>
        <w:pStyle w:val="Heading1"/>
      </w:pPr>
      <w:r>
        <w:t xml:space="preserve">پشتیبان ۲ — آزمون ۴: انتگرال‌گیر زمانی (شکل ۴-۸)</w:t>
      </w:r>
    </w:p>
    <w:p>
      <w:pPr>
        <w:pStyle w:val="Compact"/>
        <w:numPr>
          <w:ilvl w:val="0"/>
          <w:numId w:val="1022"/>
        </w:numPr>
      </w:pPr>
      <w:r>
        <w:t xml:space="preserve">خطای بیشینه: نیومارک</w:t>
      </w:r>
      <w:r>
        <w:t xml:space="preserve"> </w:t>
      </w:r>
      <w:r>
        <w:rPr>
          <w:b/>
          <w:bCs/>
        </w:rPr>
        <w:t xml:space="preserve">۰٫۰۰۳۱۹ K</w:t>
      </w:r>
      <w:r>
        <w:t xml:space="preserve">،</w:t>
      </w:r>
      <w:r>
        <w:t xml:space="preserve"> </w:t>
      </w:r>
      <w:r>
        <w:rPr>
          <w:rStyle w:val="VerbatimChar"/>
        </w:rPr>
        <w:t xml:space="preserve">ode15s</w:t>
      </w:r>
      <w:r>
        <w:t xml:space="preserve"> </w:t>
      </w:r>
      <w:r>
        <w:rPr>
          <w:b/>
          <w:bCs/>
        </w:rPr>
        <w:t xml:space="preserve">۰٫۰۰۰۲۶ K</w:t>
      </w:r>
      <w:r>
        <w:t xml:space="preserve">؛ هزینهٔ نیومارک حدود یک‌دهم.</w:t>
      </w:r>
    </w:p>
    <w:p>
      <w:pPr>
        <w:pStyle w:val="FirstParagraph"/>
      </w:pPr>
      <w:r>
        <w:drawing>
          <wp:inline>
            <wp:extent cx="5029200" cy="3110291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../figures_validation/verif_test4_integrator_R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68" Target="media/rId68.png" /><Relationship Type="http://schemas.openxmlformats.org/officeDocument/2006/relationships/image" Id="rId84" Target="media/rId84.png" /><Relationship Type="http://schemas.openxmlformats.org/officeDocument/2006/relationships/image" Id="rId64" Target="media/rId64.png" /><Relationship Type="http://schemas.openxmlformats.org/officeDocument/2006/relationships/image" Id="rId105" Target="media/rId105.png" /><Relationship Type="http://schemas.openxmlformats.org/officeDocument/2006/relationships/image" Id="rId109" Target="media/rId109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 ترموالاستیک استوانه‌های متخلخلِ تقویت‌شده با پلاکت‌های گرافنی تحت بارِ ترمو-مکانیکی با استفاده از تئوری لرد-شولمن</dc:title>
  <dc:creator>نگارنده: ‹نام دانشجو› | استاد راهنما: ‹نام استاد راهنما›</dc:creator>
  <cp:keywords/>
  <dcterms:created xsi:type="dcterms:W3CDTF">2026-10-12T19:15:40Z</dcterms:created>
  <dcterms:modified xsi:type="dcterms:W3CDTF">2026-10-12T19:15:40Z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‹نام دانشگاه و دانشکده› — ‹تاریخ دفاع›</vt:lpwstr>
  </property>
</Properties>
</file>