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65.png" ContentType="image/png"/>
  <Override PartName="/word/media/rId69.png" ContentType="image/png"/>
  <Override PartName="/word/media/rId56.png" ContentType="image/png"/>
  <Override PartName="/word/media/rId46.png" ContentType="image/png"/>
  <Override PartName="/word/media/rId41.png" ContentType="image/png"/>
  <Override PartName="/word/media/rId50.png" ContentType="image/png"/>
  <Override PartName="/word/media/rId60.png" ContentType="image/png"/>
  <Override PartName="/word/media/rId34.png" ContentType="image/png"/>
  <Override PartName="/word/media/rId85.png" ContentType="image/png"/>
  <Override PartName="/word/media/rId89.png" ContentType="image/png"/>
  <Override PartName="/word/media/rId81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77.png" ContentType="image/png"/>
  <Override PartName="/word/media/rId93.png" ContentType="image/png"/>
  <Override PartName="/word/media/rId73.png" ContentType="image/png"/>
  <Override PartName="/word/media/rId114.png" ContentType="image/png"/>
  <Override PartName="/word/media/rId118.png" ContentType="image/png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تحلیل ترموالاستیک استوانه‌های متخلخلِ تقویت‌شده با پلاکت‌های گرافنی تحت بارِ ترمو-مکانیکی با استفاده از تئوری لرد-شولمن</w:t>
      </w:r>
    </w:p>
    <w:p>
      <w:pPr>
        <w:pStyle w:val="Author"/>
      </w:pPr>
      <w:r>
        <w:t xml:space="preserve">نگارنده: ‹نام دانشجو› | استاد راهنما: ‹نام استاد راهنما›</w:t>
      </w:r>
    </w:p>
    <w:p>
      <w:pPr>
        <w:pStyle w:val="Date"/>
      </w:pPr>
      <w:r>
        <w:t xml:space="preserve">‹نام دانشگاه و دانشکده› — ‹تاریخ دفاع›</w:t>
      </w:r>
    </w:p>
    <w:bookmarkStart w:id="28" w:name="فهرست-مطالب"/>
    <w:p>
      <w:pPr>
        <w:pStyle w:val="Heading1"/>
      </w:pPr>
      <w:r>
        <w:t xml:space="preserve">فهرست مطالب</w:t>
      </w:r>
    </w:p>
    <w:p>
      <w:pPr>
        <w:pStyle w:val="Compact"/>
        <w:numPr>
          <w:ilvl w:val="0"/>
          <w:numId w:val="1001"/>
        </w:numPr>
      </w:pPr>
      <w:r>
        <w:t xml:space="preserve">بیان مسئله و هدف پژوهش</w:t>
      </w:r>
    </w:p>
    <w:p>
      <w:pPr>
        <w:pStyle w:val="Compact"/>
        <w:numPr>
          <w:ilvl w:val="0"/>
          <w:numId w:val="1001"/>
        </w:numPr>
      </w:pPr>
      <w:r>
        <w:t xml:space="preserve">پیشینهٔ پژوهش: تئوری‌ها، سازه‌های مدرج، مواد متخلخل، ترموالاستیسیتهٔ تعمیم‌یافته</w:t>
      </w:r>
    </w:p>
    <w:p>
      <w:pPr>
        <w:pStyle w:val="Compact"/>
        <w:numPr>
          <w:ilvl w:val="0"/>
          <w:numId w:val="1001"/>
        </w:numPr>
      </w:pPr>
      <w:r>
        <w:t xml:space="preserve">شکاف تحقیقاتی و جایگاه پژوهش</w:t>
      </w:r>
    </w:p>
    <w:p>
      <w:pPr>
        <w:pStyle w:val="Compact"/>
        <w:numPr>
          <w:ilvl w:val="0"/>
          <w:numId w:val="1001"/>
        </w:numPr>
      </w:pPr>
      <w:r>
        <w:t xml:space="preserve">مدل‌سازی: هندسه، مواد و الگوها</w:t>
      </w:r>
    </w:p>
    <w:p>
      <w:pPr>
        <w:pStyle w:val="Compact"/>
        <w:numPr>
          <w:ilvl w:val="0"/>
          <w:numId w:val="1001"/>
        </w:numPr>
      </w:pPr>
      <w:r>
        <w:t xml:space="preserve">معادلات حاکم و روش حل عددی</w:t>
      </w:r>
    </w:p>
    <w:p>
      <w:pPr>
        <w:pStyle w:val="Compact"/>
        <w:numPr>
          <w:ilvl w:val="0"/>
          <w:numId w:val="1001"/>
        </w:numPr>
      </w:pPr>
      <w:r>
        <w:t xml:space="preserve">صحت‌سنجی و همگرایی</w:t>
      </w:r>
    </w:p>
    <w:p>
      <w:pPr>
        <w:pStyle w:val="Compact"/>
        <w:numPr>
          <w:ilvl w:val="0"/>
          <w:numId w:val="1001"/>
        </w:numPr>
      </w:pPr>
      <w:r>
        <w:t xml:space="preserve">نتایج و بحث</w:t>
      </w:r>
    </w:p>
    <w:p>
      <w:pPr>
        <w:pStyle w:val="Compact"/>
        <w:numPr>
          <w:ilvl w:val="0"/>
          <w:numId w:val="1001"/>
        </w:numPr>
      </w:pPr>
      <w:r>
        <w:t xml:space="preserve">نوآوری‌ها، نتیجه‌گیری و پیشنهادها</w:t>
      </w:r>
    </w:p>
    <w:bookmarkEnd w:id="28"/>
    <w:bookmarkStart w:id="29" w:name="X0cdc5442f9b682b5e81326a6a69cd076f1c3465"/>
    <w:p>
      <w:pPr>
        <w:pStyle w:val="Heading1"/>
      </w:pPr>
      <w:r>
        <w:t xml:space="preserve">استوانه‌های جدارضخیم: سازه‌ای پرکاربرد در معرض بارهای حرارتی سریع</w:t>
      </w:r>
    </w:p>
    <w:p>
      <w:pPr>
        <w:pStyle w:val="Compact"/>
        <w:numPr>
          <w:ilvl w:val="0"/>
          <w:numId w:val="1002"/>
        </w:numPr>
      </w:pPr>
      <w:r>
        <w:t xml:space="preserve">سیلندرها استوانه‌هایی توخالی و معمولاً جدارضخیم‌اند و بارهای محوری، برشی، پیچشی، خمشی، هیدرواستاتیک و هیدرودینامیک را تحمل می‌کنند.</w:t>
      </w:r>
    </w:p>
    <w:p>
      <w:pPr>
        <w:pStyle w:val="Compact"/>
        <w:numPr>
          <w:ilvl w:val="0"/>
          <w:numId w:val="1002"/>
        </w:numPr>
      </w:pPr>
      <w:r>
        <w:t xml:space="preserve">کاربرد: مخازن نگهداری و انتقال سیال، فضاپیماها، رآکتورهای هسته‌ای، مبدل‌های حرارتی.</w:t>
      </w:r>
    </w:p>
    <w:p>
      <w:pPr>
        <w:pStyle w:val="Compact"/>
        <w:numPr>
          <w:ilvl w:val="0"/>
          <w:numId w:val="1002"/>
        </w:numPr>
      </w:pPr>
      <w:r>
        <w:t xml:space="preserve">این اجزا اغلب در معرض بارهای حرارتیِ سریع و شدید قرار می‌گیرند.</w:t>
      </w:r>
    </w:p>
    <w:p>
      <w:pPr>
        <w:pStyle w:val="Compact"/>
        <w:numPr>
          <w:ilvl w:val="0"/>
          <w:numId w:val="1002"/>
        </w:numPr>
      </w:pPr>
      <w:r>
        <w:t xml:space="preserve">پیش‌بینی دقیق دما و تنش‌های حرارتیِ گذرا برای ایمنی و طول عمر سازه حیاتی است.</w:t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منبع: فصل ۱، بندهای ۱-۱ و ۱-۶. با کاربردهای ملموس شروع کنید؛ هنوز وارد نظریه نشوید.</w:t>
      </w:r>
    </w:p>
    <w:bookmarkEnd w:id="29"/>
    <w:bookmarkStart w:id="30" w:name="X0c32acbd162a5ff8aa8b2d3a832e7a268632509"/>
    <w:p>
      <w:pPr>
        <w:pStyle w:val="Heading1"/>
      </w:pPr>
      <w:r>
        <w:t xml:space="preserve">مواد نوین: گرافن برای استحکام، تخلخل برای سبکی و عایق‌بودن</w:t>
      </w:r>
    </w:p>
    <w:p>
      <w:pPr>
        <w:pStyle w:val="Compact"/>
        <w:numPr>
          <w:ilvl w:val="0"/>
          <w:numId w:val="1003"/>
        </w:numPr>
      </w:pPr>
      <w:r>
        <w:t xml:space="preserve">نانولوله‌های کربنی (۱۹۹۱) و گرافن (۲۰۰۴): استحکام و مدول بسیار زیاد، رسانش الکتریکی و حرارتی عالی [۱].</w:t>
      </w:r>
    </w:p>
    <w:p>
      <w:pPr>
        <w:pStyle w:val="Compact"/>
        <w:numPr>
          <w:ilvl w:val="0"/>
          <w:numId w:val="1003"/>
        </w:numPr>
      </w:pPr>
      <w:r>
        <w:t xml:space="preserve">نانوکامپوزیت‌های گرافنی از کامپوزیت‌های نانولوله و نانوگرافیت خواص مکانیکی بهتری نشان داده‌اند؛ سطح تماس زیاد، انتقال بار را بهبود می‌دهد.</w:t>
      </w:r>
    </w:p>
    <w:p>
      <w:pPr>
        <w:pStyle w:val="Compact"/>
        <w:numPr>
          <w:ilvl w:val="0"/>
          <w:numId w:val="1003"/>
        </w:numPr>
      </w:pPr>
      <w:r>
        <w:t xml:space="preserve">مواد متخلخل: سبک، جاذب انرژی، با سطح ویژهٔ زیاد و مقاوم در برابر حرارت؛ اما تخلخل استحکام را کم می‌کند.</w:t>
      </w:r>
    </w:p>
    <w:p>
      <w:pPr>
        <w:pStyle w:val="Compact"/>
        <w:numPr>
          <w:ilvl w:val="0"/>
          <w:numId w:val="1003"/>
        </w:numPr>
      </w:pPr>
      <w:r>
        <w:t xml:space="preserve">افزودن ورقه‌های گرافنی به مادهٔ متخلخل یکی از راه‌های جبران این افت است [۲].</w:t>
      </w:r>
    </w:p>
    <w:p>
      <w:pPr>
        <w:pStyle w:val="Compact"/>
        <w:numPr>
          <w:ilvl w:val="0"/>
          <w:numId w:val="1003"/>
        </w:numPr>
      </w:pPr>
      <w:r>
        <w:t xml:space="preserve">ترکیب این دو در ماده‌ای مدرجِ لایه‌ای، توزیع هدفمند ماده در ضخامت را ممکن می‌کند.</w:t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منبع: فصل ۱، بندهای ۱-۱ و ۱-۶.</w:t>
      </w:r>
    </w:p>
    <w:bookmarkEnd w:id="30"/>
    <w:bookmarkStart w:id="31" w:name="X5b779a8c334d68b79af471160f109e29e61f97a"/>
    <w:p>
      <w:pPr>
        <w:pStyle w:val="Heading1"/>
      </w:pPr>
      <w:r>
        <w:t xml:space="preserve">مسئله: پاسخ ترموالاستیک گذرا؛ انتخاب مدل هدایت و الگوی ماده</w:t>
      </w:r>
    </w:p>
    <w:p>
      <w:pPr>
        <w:pStyle w:val="Compact"/>
        <w:numPr>
          <w:ilvl w:val="0"/>
          <w:numId w:val="1004"/>
        </w:numPr>
      </w:pPr>
      <w:r>
        <w:t xml:space="preserve">قانون فوریه سرعت انتشار حرارت را نامحدود می‌گیرد؛ در بارهای حرارتی پیچیده مانند شوک حرارتی و بار انفجاری دقت کافی ندارد [۳].</w:t>
      </w:r>
    </w:p>
    <w:p>
      <w:pPr>
        <w:pStyle w:val="Compact"/>
        <w:numPr>
          <w:ilvl w:val="0"/>
          <w:numId w:val="1004"/>
        </w:numPr>
      </w:pPr>
      <w:r>
        <w:t xml:space="preserve">تئوری‌های غیرممزوج، دما و جابجایی را مستقل حساب می‌کنند.</w:t>
      </w:r>
    </w:p>
    <w:p>
      <w:pPr>
        <w:pStyle w:val="Compact"/>
        <w:numPr>
          <w:ilvl w:val="0"/>
          <w:numId w:val="1004"/>
        </w:numPr>
      </w:pPr>
      <w:r>
        <w:t xml:space="preserve">برای دقت بیشتر، تئوری‌های تعمیم‌یافته و ممزوج معرفی شده‌اند؛ یکی از آن‌ها تئوری لرد–شولمن (۱۹۶۷) با زمان تخفیف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است [۴].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مسئلهٔ این پژوهش:</w:t>
      </w:r>
      <w:r>
        <w:t xml:space="preserve"> </w:t>
      </w:r>
      <w:r>
        <w:t xml:space="preserve">توزیع دما، تنش، کرنش و جابجایی در استوانهٔ متخلخلِ تقویت‌شده با پلاکت‌های گرافنی تحت بار ترمو-مکانیکی.</w:t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منبع: فصل ۱، بندهای ۱-۱ (بند چهارم) و ۱-۳. لرد–شولمن را فقط یکی از تئوری‌های تعمیم‌یافته معرفی کنید؛ مقایسهٔ تئوری‌ها در پیشینه و در نتیجهٔ ۷ می‌آید.</w:t>
      </w:r>
    </w:p>
    <w:bookmarkEnd w:id="31"/>
    <w:bookmarkStart w:id="32" w:name="هدف-و-پرسشهای-پژوهش"/>
    <w:p>
      <w:pPr>
        <w:pStyle w:val="Heading1"/>
      </w:pPr>
      <w:r>
        <w:t xml:space="preserve">هدف و پرسش‌های پژوهش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هدف:</w:t>
      </w:r>
      <w:r>
        <w:t xml:space="preserve"> </w:t>
      </w:r>
      <w:r>
        <w:t xml:space="preserve">تحلیل ترموالاستیک استوانهٔ توخالیِ متخلخل تقویت‌شده با پلاکت‌های گرافنی تحت بار ترمو-مکانیکی، برای الگوهای مختلف گرافن و تخلخل در ضخامت.</w:t>
      </w:r>
    </w:p>
    <w:p>
      <w:pPr>
        <w:pStyle w:val="Compact"/>
        <w:numPr>
          <w:ilvl w:val="0"/>
          <w:numId w:val="1005"/>
        </w:numPr>
      </w:pPr>
      <w:r>
        <w:t xml:space="preserve">پاسخ دما، تنش و جابجایی با سرعت متناهی موج حرارتی چه تفاوتی با هدایت فوریه دارد؟</w:t>
      </w:r>
    </w:p>
    <w:p>
      <w:pPr>
        <w:pStyle w:val="Compact"/>
        <w:numPr>
          <w:ilvl w:val="0"/>
          <w:numId w:val="1005"/>
        </w:numPr>
      </w:pPr>
      <w:r>
        <w:t xml:space="preserve">الگوی گرافن و الگو و شدت تخلخل چگونه بر بیشینهٔ دما، تنش و جابجایی اثر می‌گذارند؟</w:t>
      </w:r>
    </w:p>
    <w:p>
      <w:pPr>
        <w:pStyle w:val="Compact"/>
        <w:numPr>
          <w:ilvl w:val="0"/>
          <w:numId w:val="1005"/>
        </w:numPr>
      </w:pPr>
      <w:r>
        <w:t xml:space="preserve">برهم‌کنش هم‌زمان دو الگو هم‌افزاست یا خنثی‌کننده؟</w:t>
      </w:r>
    </w:p>
    <w:p>
      <w:pPr>
        <w:pStyle w:val="Compact"/>
        <w:numPr>
          <w:ilvl w:val="0"/>
          <w:numId w:val="1005"/>
        </w:numPr>
      </w:pPr>
      <w:r>
        <w:t xml:space="preserve">اثر کسر وزنی، نسبت ابعادی، زمان تخفیف، تکیه‌گاه، فشار و ضخامت بر پاسخ گذرا چیست؟</w:t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منبع: فصل ۱، بند ۱-۴. این چهار پرسش را در بخش نتایج دوباره به‌ترتیب پاسخ می‌دهید.</w:t>
      </w:r>
    </w:p>
    <w:bookmarkEnd w:id="32"/>
    <w:bookmarkStart w:id="33" w:name="X8334c016054ffeb37eaaaabbb286a52913d52c3"/>
    <w:p>
      <w:pPr>
        <w:pStyle w:val="Heading1"/>
      </w:pPr>
      <w:r>
        <w:t xml:space="preserve">پیشینه ۱: تئوری‌های تحلیل استوانه — از پوسته تا الاستیسیتهٔ سه‌بعدی</w:t>
      </w:r>
    </w:p>
    <w:p>
      <w:pPr>
        <w:pStyle w:val="Compact"/>
        <w:numPr>
          <w:ilvl w:val="0"/>
          <w:numId w:val="1006"/>
        </w:numPr>
      </w:pPr>
      <w:r>
        <w:t xml:space="preserve">تئوری‌های پوسته و ورق: کلاسیک، برشی مرتبهٔ اول و مراتب بالا [۵].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کلاسیک:</w:t>
      </w:r>
      <w:r>
        <w:t xml:space="preserve"> </w:t>
      </w:r>
      <w:r>
        <w:t xml:space="preserve">از کرنش عمودی و برش عرضی صرف‌نظر می‌کند؛ با افزایش ضخامت دقتش کم می‌شود.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برشی مرتبهٔ اول:</w:t>
      </w:r>
      <w:r>
        <w:t xml:space="preserve"> </w:t>
      </w:r>
      <w:r>
        <w:t xml:space="preserve">برش عرضی و اینرسی چرخشی را وارد می‌کند اما کرنش برشی را ثابت می‌گیرد (ضریب تصحیح برشی)؛ مراتب بالاتر جملات بیشتری نگه می‌دارند.</w:t>
      </w:r>
    </w:p>
    <w:p>
      <w:pPr>
        <w:pStyle w:val="Compact"/>
        <w:numPr>
          <w:ilvl w:val="0"/>
          <w:numId w:val="1006"/>
        </w:numPr>
      </w:pPr>
      <w:r>
        <w:t xml:space="preserve">مزیت پوسته‌ها: حجم محاسباتی کم؛ ضعف: افت دقت در ضخامت زیاد و در رفتار محلی.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راه‌حل:</w:t>
      </w:r>
      <w:r>
        <w:t xml:space="preserve"> </w:t>
      </w:r>
      <w:r>
        <w:t xml:space="preserve">الاستیسیتهٔ سه‌بعدی و ترموالاستیسیتهٔ سه‌بعدی — جابجایی، تنش و کرنش در هر نقطه.</w:t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منبع: فصل ۲، بند ۲-۲. این اسلاید توجیه می‌کند چرا مسئله را در صفحهٔ (r,z) و نه با تئوری پوسته حل کرده‌اید.</w:t>
      </w:r>
    </w:p>
    <w:bookmarkEnd w:id="33"/>
    <w:bookmarkStart w:id="37" w:name="پیشینه-۲-خانواده-تئوریهای-ترموالاستیسیته"/>
    <w:p>
      <w:pPr>
        <w:pStyle w:val="Heading1"/>
      </w:pPr>
      <w:r>
        <w:t xml:space="preserve">پیشینه ۲: خانوادهٔ تئوری‌های ترموالاستیسیته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کلاسیک</w:t>
      </w:r>
      <w:r>
        <w:t xml:space="preserve"> </w:t>
      </w:r>
      <w:r>
        <w:t xml:space="preserve">(فوریه، سرعت موج نامحدود): غیرممزوج و ممزوج.</w:t>
      </w:r>
      <w:r>
        <w:t xml:space="preserve"> </w:t>
      </w:r>
      <w:r>
        <w:rPr>
          <w:b/>
          <w:bCs/>
        </w:rPr>
        <w:t xml:space="preserve">تعمیم‌یافته</w:t>
      </w:r>
      <w:r>
        <w:t xml:space="preserve"> </w:t>
      </w:r>
      <w:r>
        <w:t xml:space="preserve">(هذلولوی، سرعت موج متناهی، «صوت دوم»): لرد–شولمن، گرین–لیندزی، گرین–نقدی، تأخیر دوفازی.</w:t>
      </w:r>
    </w:p>
    <w:p>
      <w:pPr>
        <w:pStyle w:val="Compact"/>
        <w:numPr>
          <w:ilvl w:val="0"/>
          <w:numId w:val="1007"/>
        </w:numPr>
      </w:pPr>
      <w:r>
        <w:t xml:space="preserve">مرور جامع: شاکری‌اسکی و همکاران (۲۰۲۱) [۷۸].</w:t>
      </w:r>
    </w:p>
    <w:p>
      <w:pPr>
        <w:pStyle w:val="FirstParagraph"/>
      </w:pPr>
      <w:r>
        <w:drawing>
          <wp:inline>
            <wp:extent cx="5029200" cy="187053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../figures_ch123/theory_taxonom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870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شکل ۲-۱ پایان‌نامه. فقط جایگاه نظریه‌ها را نشان دهید؛ دربارهٔ برتری هیچ‌کدام صحبت نکنید.</w:t>
      </w:r>
    </w:p>
    <w:bookmarkEnd w:id="37"/>
    <w:bookmarkStart w:id="38" w:name="پیشینه-۳-مهمترین-پژوهشهای-پیشین"/>
    <w:p>
      <w:pPr>
        <w:pStyle w:val="Heading1"/>
      </w:pPr>
      <w:r>
        <w:t xml:space="preserve">پیشینه ۳: مهم‌ترین پژوهش‌های پیشین</w:t>
      </w:r>
    </w:p>
    <w:p>
      <w:pPr>
        <w:pStyle w:val="Compact"/>
        <w:numPr>
          <w:ilvl w:val="0"/>
          <w:numId w:val="1008"/>
        </w:numPr>
      </w:pPr>
      <w:r>
        <w:t xml:space="preserve">ملک‌زاده و همکاران (۲۰۱۲): پاسخ گذرای پوستهٔ چندلایه، DQM + نیومارک [۳۱].</w:t>
      </w:r>
    </w:p>
    <w:p>
      <w:pPr>
        <w:pStyle w:val="Compact"/>
        <w:numPr>
          <w:ilvl w:val="0"/>
          <w:numId w:val="1008"/>
        </w:numPr>
      </w:pPr>
      <w:r>
        <w:t xml:space="preserve">ملک‌زاده و حیدرپور (۲۰۱۲): بار ترمو-مکانیکی متحرک، هدایت هذلولوی [۳۲].</w:t>
      </w:r>
    </w:p>
    <w:p>
      <w:pPr>
        <w:pStyle w:val="Compact"/>
        <w:numPr>
          <w:ilvl w:val="0"/>
          <w:numId w:val="1008"/>
        </w:numPr>
      </w:pPr>
      <w:r>
        <w:t xml:space="preserve">حیدرپور و همکاران (۲۰۲۰): پوستهٔ استوانه‌ایِ گرافنی، بار ترمو-مکانیکی دینامیکی [۴۶].</w:t>
      </w:r>
    </w:p>
    <w:p>
      <w:pPr>
        <w:pStyle w:val="Compact"/>
        <w:numPr>
          <w:ilvl w:val="0"/>
          <w:numId w:val="1008"/>
        </w:numPr>
      </w:pPr>
      <w:r>
        <w:t xml:space="preserve">رحیمی و همکاران (۲۰۲۰): تحلیل سه‌بعدی استوانهٔ متخلخلِ گرافنی با هالپین–تسای؛ یاس و رحیمی (۲۰۲۰): مدل سلول‌باز [۴۷، ۵۱].</w:t>
      </w:r>
    </w:p>
    <w:p>
      <w:pPr>
        <w:pStyle w:val="Compact"/>
        <w:numPr>
          <w:ilvl w:val="0"/>
          <w:numId w:val="1008"/>
        </w:numPr>
      </w:pPr>
      <w:r>
        <w:t xml:space="preserve">مرادی‌دستجردی و بهدینان (۲۰۲۱): تنش در استوانهٔ جدارضخیمِ مدرجِ متخلخلِ گرافنی، حالت پایا [۵۲].</w:t>
      </w:r>
    </w:p>
    <w:p>
      <w:pPr>
        <w:pStyle w:val="Compact"/>
        <w:numPr>
          <w:ilvl w:val="0"/>
          <w:numId w:val="1008"/>
        </w:numPr>
      </w:pPr>
      <w:r>
        <w:t xml:space="preserve">باهتویی و اسلامی (۲۰۰۷)، بگری و اسلامی (۲۰۰۸): ترموالاستیسیتهٔ تعمیم‌یافته (لرد–شولمن) در پوستهٔ استوانه‌ای و دیسکِ مدرج [۶۴–۶۶].</w:t>
      </w:r>
    </w:p>
    <w:p>
      <w:pPr>
        <w:pStyle w:val="Compact"/>
        <w:numPr>
          <w:ilvl w:val="0"/>
          <w:numId w:val="1008"/>
        </w:numPr>
      </w:pPr>
      <w:r>
        <w:t xml:space="preserve">حیدرپور و همکاران (۲۰۱۹، ۲۰۲۰): پوستهٔ کروی و مخروط ناقصِ گرافنی با لرد–شولمن، DQM لایه‌ای + نیومارک — نزدیک‌ترین کارها و مبنای فصل‌های ۳ و ۴ [۳، ۶۸–۷۰].</w:t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منبع: فصل ۲، بندهای ۲-۳ تا ۲-۶ (خلاصه‌شده). ردیف‌های ۱ و ۲: روش DQM + نیومارک و هدایت هذلولوی در استوانه. ردیف‌های ۳ تا ۵: گرافن و تخلخل (مدل سلول‌باز مبنای مدل تخلخل شماست). ردیف‌های ۶ و ۷: ترموالاستیسیتهٔ تعمیم‌یافته؛ [۳]، [۶۸]، [۷۰] نزدیک‌ترین مرجع‌ها و مبنای معادلات (فصل ۳) و قرارداد بی‌بعدسازی (فصل ۴) هستند. اگر داور فهرست کامل‌تر خواست، فصل ۲ را ارجاع دهید. اگر پرسید «تفاوت شما با کار حیدرپور چیست؟» پاسخ در اسلایدهای بعد است: استوانهٔ جدارضخیم، گرافن و تخلخل هم‌زمان، ماتریس ۵×۵.</w:t>
      </w:r>
    </w:p>
    <w:bookmarkEnd w:id="38"/>
    <w:bookmarkStart w:id="39" w:name="جمعبندی-پیشینه-چهار-شکاف-پژوهشی"/>
    <w:p>
      <w:pPr>
        <w:pStyle w:val="Heading1"/>
      </w:pPr>
      <w:r>
        <w:t xml:space="preserve">جمع‌بندی پیشینه: چهار شکاف پژوهشی</w:t>
      </w:r>
    </w:p>
    <w:p>
      <w:pPr>
        <w:pStyle w:val="Compact"/>
        <w:numPr>
          <w:ilvl w:val="0"/>
          <w:numId w:val="1009"/>
        </w:numPr>
      </w:pPr>
      <w:r>
        <w:t xml:space="preserve">سه شاخه جداگانه بالغ شده‌اند: ترموالاستیک استوانه‌های کامپوزیتی، مدل‌سازی مواد متخلخل گرافنی و تئوری‌های تعمیم‌یافته؛ بررسی هم‌زمانشان به‌ندرت انجام شده است.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۱.</w:t>
      </w:r>
      <w:r>
        <w:t xml:space="preserve"> </w:t>
      </w:r>
      <w:r>
        <w:t xml:space="preserve">کارهای گذرا اغلب بر تئوری پوسته‌اند؛ حل کاملاً دوبعدی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برای استوانهٔ جدارضخیم کمتر به‌کار رفته است.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۲.</w:t>
      </w:r>
      <w:r>
        <w:t xml:space="preserve"> </w:t>
      </w:r>
      <w:r>
        <w:t xml:space="preserve">تحلیل‌های استوانهٔ متخلخل گرافنی عمدتاً مکانیکی یا حرارتیِ پایا و بر پایهٔ فوریه‌اند.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۳.</w:t>
      </w:r>
      <w:r>
        <w:t xml:space="preserve"> </w:t>
      </w:r>
      <w:r>
        <w:t xml:space="preserve">کارهای لرد–شولمن با DQM لایه‌ای و نیومارک بر کره، مخروط ناقص یا پوسته‌اند؛ استوانهٔ جدارضخیم چندلایه با گرافن و تخلخل هم‌زمان پوشش داده نشده است.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۴.</w:t>
      </w:r>
      <w:r>
        <w:t xml:space="preserve"> </w:t>
      </w:r>
      <w:r>
        <w:t xml:space="preserve">برهم‌کنش کاملِ الگوهای گرافن و تخلخل (ماتریس ۵×۵) و مقایسهٔ نظریه‌ها در یک مسئلهٔ استوانه‌ای گزارش نشده است.</w:t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منبع: فصل ۲، بند ۲-۷. «تا آنجا که در این مرور بررسی شد» را بگویید؛ ادعای مطلق نکنید.</w:t>
      </w:r>
    </w:p>
    <w:bookmarkEnd w:id="39"/>
    <w:bookmarkStart w:id="40" w:name="جایگاه-پژوهش-حاضر-در-ادبیات"/>
    <w:p>
      <w:pPr>
        <w:pStyle w:val="Heading1"/>
      </w:pPr>
      <w:r>
        <w:t xml:space="preserve">جایگاه پژوهش حاضر در ادبیات</w:t>
      </w:r>
    </w:p>
    <w:p>
      <w:pPr>
        <w:pStyle w:val="Compact"/>
        <w:numPr>
          <w:ilvl w:val="0"/>
          <w:numId w:val="1010"/>
        </w:numPr>
      </w:pPr>
      <w:r>
        <w:t xml:space="preserve">تحلیل ترموالاستیک گذرا و کاملاً ممزوج برای استوانهٔ توخالیِ جدارضخیمِ چندلایهٔ متخلخل تقویت‌شده با گرافن.</w:t>
      </w:r>
    </w:p>
    <w:p>
      <w:pPr>
        <w:pStyle w:val="Compact"/>
        <w:numPr>
          <w:ilvl w:val="0"/>
          <w:numId w:val="1010"/>
        </w:numPr>
      </w:pPr>
      <w:r>
        <w:t xml:space="preserve">خواص مؤثر: هالپین–تسای، قاعدهٔ مخلوط‌ها و مدل سلول‌باز.</w:t>
      </w:r>
    </w:p>
    <w:p>
      <w:pPr>
        <w:pStyle w:val="Compact"/>
        <w:numPr>
          <w:ilvl w:val="0"/>
          <w:numId w:val="1010"/>
        </w:numPr>
      </w:pPr>
      <w:r>
        <w:t xml:space="preserve">معادلات به‌صورت دوبعدی در صفحهٔ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و بدون تحویل به فرضیات پوسته.</w:t>
      </w:r>
    </w:p>
    <w:p>
      <w:pPr>
        <w:pStyle w:val="Compact"/>
        <w:numPr>
          <w:ilvl w:val="0"/>
          <w:numId w:val="1010"/>
        </w:numPr>
      </w:pPr>
      <w:r>
        <w:t xml:space="preserve">گسسته‌سازی: DQM لایه‌ای (گره‌های چبیشف–گاوس–لوباتو) در مکان و نیومارک در زمان.</w:t>
      </w:r>
    </w:p>
    <w:p>
      <w:pPr>
        <w:pStyle w:val="Compact"/>
        <w:numPr>
          <w:ilvl w:val="0"/>
          <w:numId w:val="1010"/>
        </w:numPr>
      </w:pPr>
      <w:r>
        <w:t xml:space="preserve">گرافن و تخلخل، هر یک در پنج الگوی UD، O، X، V و A.</w:t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منبع: فصل ۲، بند ۲-۷ (بند پایانی). هر مورد این فهرست یکی از شکاف‌های اسلاید قبل را پاسخ می‌دهد.</w:t>
      </w:r>
    </w:p>
    <w:bookmarkEnd w:id="40"/>
    <w:bookmarkStart w:id="44" w:name="X1a3eea8fe1f9506e17a9bf5c240dae08b4c5958"/>
    <w:p>
      <w:pPr>
        <w:pStyle w:val="Heading1"/>
      </w:pPr>
      <w:r>
        <w:t xml:space="preserve">استوانهٔ توخالیِ هفت‌لایه با خواص متغیر در ضخامت</w:t>
      </w:r>
    </w:p>
    <w:p>
      <w:pPr>
        <w:pStyle w:val="FirstParagraph"/>
      </w:pPr>
      <w:r>
        <w:drawing>
          <wp:inline>
            <wp:extent cx="5029200" cy="264981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../figures_ch123/geometry_schematic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49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حالت-مرجع-و-شرایط-مرزی"/>
    <w:p>
      <w:pPr>
        <w:pStyle w:val="Heading1"/>
      </w:pPr>
      <w:r>
        <w:t xml:space="preserve">حالت مرجع و شرایط مرزی</w:t>
      </w:r>
    </w:p>
    <w:p>
      <w:pPr>
        <w:pStyle w:val="Compact"/>
        <w:numPr>
          <w:ilvl w:val="0"/>
          <w:numId w:val="1011"/>
        </w:numPr>
      </w:pPr>
      <w:r>
        <w:t xml:space="preserve">ابعاد: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m،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m، طول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2.1</m:t>
        </m:r>
      </m:oMath>
      <w:r>
        <w:t xml:space="preserve"> </w:t>
      </w:r>
      <w:r>
        <w:t xml:space="preserve">m.</w:t>
      </w:r>
    </w:p>
    <w:p>
      <w:pPr>
        <w:pStyle w:val="Compact"/>
        <w:numPr>
          <w:ilvl w:val="0"/>
          <w:numId w:val="1011"/>
        </w:numPr>
      </w:pPr>
      <w:r>
        <w:t xml:space="preserve">حرارت: سطح داخلی</w:t>
      </w:r>
      <w:r>
        <w:t xml:space="preserve"> </w:t>
      </w:r>
      <m:oMath>
        <m:r>
          <m:t>300</m:t>
        </m:r>
        <m:r>
          <m:rPr>
            <m:sty m:val="p"/>
          </m:rPr>
          <m:t>→</m:t>
        </m:r>
        <m:r>
          <m:t>600</m:t>
        </m:r>
      </m:oMath>
      <w:r>
        <w:t xml:space="preserve"> </w:t>
      </w:r>
      <w:r>
        <w:t xml:space="preserve">K؛ سطح خارجی همرفت با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W/m²K.</w:t>
      </w:r>
    </w:p>
    <w:p>
      <w:pPr>
        <w:pStyle w:val="Compact"/>
        <w:numPr>
          <w:ilvl w:val="0"/>
          <w:numId w:val="1011"/>
        </w:numPr>
      </w:pPr>
      <w:r>
        <w:t xml:space="preserve">مکانیک: فشار داخلی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MPa؛ انتهاها تکیه‌گاه ساده و عایق.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0.15</m:t>
        </m:r>
      </m:oMath>
      <w:r>
        <w:t xml:space="preserve"> </w:t>
      </w:r>
      <w:r>
        <w:t xml:space="preserve">(معادل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418</m:t>
        </m:r>
      </m:oMath>
      <w:r>
        <w:t xml:space="preserve"> </w:t>
      </w:r>
      <w:r>
        <w:t xml:space="preserve">s)؛ زمان کل ۳۰۰۰ ثانیه.</w:t>
      </w:r>
    </w:p>
    <w:p>
      <w:pPr>
        <w:pStyle w:val="Compact"/>
        <w:numPr>
          <w:ilvl w:val="0"/>
          <w:numId w:val="1011"/>
        </w:numPr>
      </w:pPr>
      <w:r>
        <w:t xml:space="preserve">خواص:</w:t>
      </w:r>
      <w:r>
        <w:t xml:space="preserve"> </w:t>
      </w:r>
      <w:r>
        <w:rPr>
          <w:b/>
          <w:bCs/>
        </w:rPr>
        <w:t xml:space="preserve">هالپین-تسای</w:t>
      </w:r>
      <w:r>
        <w:t xml:space="preserve"> </w:t>
      </w:r>
      <w:r>
        <w:t xml:space="preserve">+ قانون مخلوط‌ها؛ تخلخل:</w:t>
      </w:r>
      <w:r>
        <w:t xml:space="preserve"> </w:t>
      </w:r>
      <w:r>
        <w:rPr>
          <w:b/>
          <w:bCs/>
        </w:rPr>
        <w:t xml:space="preserve">سلول باز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تأکید: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t xml:space="preserve">پارامتر بی‌بعدِ اصلی است؛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418</m:t>
        </m:r>
      </m:oMath>
      <w:r>
        <w:t xml:space="preserve"> </w:t>
      </w:r>
      <w:r>
        <w:t xml:space="preserve">s مقیاس‌گذاریِ جدارهٔ ۰٫۵ متری است، نه خاصیتِ اندازه‌گیری‌شدهٔ یک ماده. اگر پرسیدند، بگویید این یک مطالعهٔ پارامتریِ بی‌بعد است.</w:t>
      </w:r>
    </w:p>
    <w:bookmarkEnd w:id="45"/>
    <w:bookmarkStart w:id="49" w:name="پنج-الگوی-توزیع-گرافن-در-ضخامت"/>
    <w:p>
      <w:pPr>
        <w:pStyle w:val="Heading1"/>
      </w:pPr>
      <w:r>
        <w:t xml:space="preserve">پنج الگوی توزیع گرافن در ضخامت</w:t>
      </w:r>
    </w:p>
    <w:p>
      <w:pPr>
        <w:pStyle w:val="FirstParagraph"/>
      </w:pPr>
      <w:r>
        <w:drawing>
          <wp:inline>
            <wp:extent cx="5029200" cy="3888759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../figures_ch123/GPL_patterns_schematic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88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پنج-الگوی-توزیع-تخلخل-در-ضخامت"/>
    <w:p>
      <w:pPr>
        <w:pStyle w:val="Heading1"/>
      </w:pPr>
      <w:r>
        <w:t xml:space="preserve">پنج الگوی توزیع تخلخل در ضخامت</w:t>
      </w:r>
    </w:p>
    <w:p>
      <w:pPr>
        <w:pStyle w:val="FirstParagraph"/>
      </w:pPr>
      <w:r>
        <w:drawing>
          <wp:inline>
            <wp:extent cx="5029200" cy="340368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../figures_ch123/porosity_patterns_schematic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03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تأکید کنید V و A آینهٔ یکدیگرند — این نکته بعداً در یافتهٔ هم‌افزایی کلیدی می‌شود.</w:t>
      </w:r>
    </w:p>
    <w:bookmarkEnd w:id="53"/>
    <w:bookmarkStart w:id="54" w:name="معادله-انرژی-لردشولمن"/>
    <w:p>
      <w:pPr>
        <w:pStyle w:val="Heading1"/>
      </w:pPr>
      <w:r>
        <w:t xml:space="preserve">معادلهٔ انرژی لرد–شولمن</w:t>
      </w:r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̇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̈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+</m:t>
          </m:r>
          <m:r>
            <m:t>β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̇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̈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∇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12"/>
        </w:numPr>
      </w:pPr>
      <w:r>
        <w:t xml:space="preserve">جملهٔ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θ</m:t>
            </m:r>
          </m:e>
        </m:acc>
      </m:oMath>
      <w:r>
        <w:t xml:space="preserve"> </w:t>
      </w:r>
      <w:r>
        <w:t xml:space="preserve">معادله را</w:t>
      </w:r>
      <w:r>
        <w:t xml:space="preserve"> </w:t>
      </w:r>
      <w:r>
        <w:rPr>
          <w:b/>
          <w:bCs/>
        </w:rPr>
        <w:t xml:space="preserve">هذلولوی</w:t>
      </w:r>
      <w:r>
        <w:t xml:space="preserve"> </w:t>
      </w:r>
      <w:r>
        <w:t xml:space="preserve">می‌کند؛ سرعت موج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α</m:t>
            </m:r>
            <m:r>
              <m:rPr>
                <m:sty m:val="p"/>
              </m:rPr>
              <m:t>/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</m:e>
        </m:rad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جملهٔ</w:t>
      </w:r>
      <w:r>
        <w:t xml:space="preserve"> </w:t>
      </w:r>
      <m:oMath>
        <m:r>
          <m:t>β</m:t>
        </m:r>
        <m:sSub>
          <m:e>
            <m:r>
              <m:t>T</m:t>
            </m:r>
          </m:e>
          <m:sub>
            <m:r>
              <m:t>0</m:t>
            </m:r>
          </m:sub>
        </m:sSub>
        <m:acc>
          <m:accPr>
            <m:chr m:val="̇"/>
          </m:accPr>
          <m:e>
            <m:r>
              <m:t>e</m:t>
            </m:r>
          </m:e>
        </m:acc>
      </m:oMath>
      <w:r>
        <w:t xml:space="preserve"> </w:t>
      </w:r>
      <w:r>
        <w:rPr>
          <w:b/>
          <w:bCs/>
        </w:rPr>
        <w:t xml:space="preserve">پیوند ممزوج</w:t>
      </w:r>
      <w:r>
        <w:t xml:space="preserve"> </w:t>
      </w:r>
      <w:r>
        <w:t xml:space="preserve">دما و تغییرشکل است.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فوریهٔ کلاسیک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فقط همین یک معادله را نشان دهید. اگر جزئیات استخراج را خواستند، اسلاید پشتیبان (فصل ۳) را باز کنید.</w:t>
      </w:r>
    </w:p>
    <w:bookmarkEnd w:id="54"/>
    <w:bookmarkStart w:id="55" w:name="dqm-لایهای-نیومارک-۱۵-برابر-نقطه-کمتر"/>
    <w:p>
      <w:pPr>
        <w:pStyle w:val="Heading1"/>
      </w:pPr>
      <w:r>
        <w:t xml:space="preserve">DQM لایه‌ای + نیومارک: ۱۵ برابر نقطهٔ کمتر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مکان:</w:t>
      </w:r>
      <w:r>
        <w:t xml:space="preserve"> </w:t>
      </w:r>
      <w:r>
        <w:t xml:space="preserve">مربعات تفاضلی (DQM) لایه‌ای در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با نقاط چبیشف-گاوس-لوباتو.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زمان:</w:t>
      </w:r>
      <w:r>
        <w:t xml:space="preserve"> </w:t>
      </w:r>
      <w:r>
        <w:t xml:space="preserve">نیومارک (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،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 — بدون قید پایداری.</w:t>
      </w:r>
    </w:p>
    <w:p>
      <w:pPr>
        <w:pStyle w:val="Compact"/>
        <w:numPr>
          <w:ilvl w:val="0"/>
          <w:numId w:val="1013"/>
        </w:numPr>
      </w:pPr>
      <w:r>
        <w:t xml:space="preserve">شرایط مرزی و</w:t>
      </w:r>
      <w:r>
        <w:t xml:space="preserve"> </w:t>
      </w:r>
      <w:r>
        <w:rPr>
          <w:b/>
          <w:bCs/>
        </w:rPr>
        <w:t xml:space="preserve">سازگاری بین‌لایه‌ای</w:t>
      </w:r>
      <w:r>
        <w:t xml:space="preserve"> </w:t>
      </w:r>
      <w:r>
        <w:t xml:space="preserve">(دما، شار، جابجایی، تنش) به‌صورت سطرهای جبری.</w:t>
      </w:r>
    </w:p>
    <w:p>
      <w:pPr>
        <w:pStyle w:val="Compact"/>
        <w:numPr>
          <w:ilvl w:val="0"/>
          <w:numId w:val="1013"/>
        </w:numPr>
      </w:pPr>
      <w:r>
        <w:t xml:space="preserve">DQM در هر راستا حدود</w:t>
      </w:r>
      <w:r>
        <w:t xml:space="preserve"> </w:t>
      </w:r>
      <w:r>
        <w:rPr>
          <w:b/>
          <w:bCs/>
        </w:rPr>
        <w:t xml:space="preserve">۱۵ برابر</w:t>
      </w:r>
      <w:r>
        <w:t xml:space="preserve"> </w:t>
      </w:r>
      <w:r>
        <w:t xml:space="preserve">نقطهٔ کمتر از تفاضل محدود و اجزای محدود خطی.</w:t>
      </w:r>
    </w:p>
    <w:bookmarkEnd w:id="55"/>
    <w:bookmarkStart w:id="59" w:name="شبکه-dqm"/>
    <w:p>
      <w:pPr>
        <w:pStyle w:val="Heading1"/>
      </w:pPr>
      <w:r>
        <w:t xml:space="preserve">شبکهٔ DQM</w:t>
      </w:r>
    </w:p>
    <w:p>
      <w:pPr>
        <w:pStyle w:val="FirstParagraph"/>
      </w:pPr>
      <w:r>
        <w:drawing>
          <wp:inline>
            <wp:extent cx="5029200" cy="225018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../figures_ch123/DQM_nodes_schematic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50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فلوچارت-حل"/>
    <w:p>
      <w:pPr>
        <w:pStyle w:val="Heading1"/>
      </w:pPr>
      <w:r>
        <w:t xml:space="preserve">فلوچارت حل</w:t>
      </w:r>
    </w:p>
    <w:p>
      <w:pPr>
        <w:pStyle w:val="FirstParagraph"/>
      </w:pPr>
      <w:r>
        <w:drawing>
          <wp:inline>
            <wp:extent cx="2726539" cy="420624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../figures_ch123/solution_flowchart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539" cy="4206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اگر زمان کم است، این اسلاید و اسلاید قبل را حذف یا به پشتیبان ببرید.</w:t>
      </w:r>
    </w:p>
    <w:bookmarkEnd w:id="63"/>
    <w:bookmarkStart w:id="64" w:name="صحتسنجی-پنج-آزمون-مستقل"/>
    <w:p>
      <w:pPr>
        <w:pStyle w:val="Heading1"/>
      </w:pPr>
      <w:r>
        <w:t xml:space="preserve">صحت‌سنجی: پنج آزمون مستقل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حد استاتیکی</w:t>
      </w:r>
      <w:r>
        <w:t xml:space="preserve"> </w:t>
      </w:r>
      <w:r>
        <w:t xml:space="preserve">— حل‌گر استاتیکی مستقل: اختلاف نسبی</w:t>
      </w:r>
      <w:r>
        <w:t xml:space="preserve"> </w:t>
      </w:r>
      <m:oMath>
        <m:r>
          <m:rPr>
            <m:sty m:val="p"/>
          </m:rPr>
          <m:t>∼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پاسخ مکانیکی</w:t>
      </w:r>
      <w:r>
        <w:t xml:space="preserve"> </w:t>
      </w:r>
      <w:r>
        <w:t xml:space="preserve">— ملک‌زاده و ANSYS: اختلاف</w:t>
      </w:r>
      <w:r>
        <w:t xml:space="preserve"> </w:t>
      </w:r>
      <w:r>
        <w:rPr>
          <w:b/>
          <w:bCs/>
        </w:rPr>
        <w:t xml:space="preserve">۰٫۱ تا ۰٫۲٪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هدایت گذرا</w:t>
      </w:r>
      <w:r>
        <w:t xml:space="preserve"> </w:t>
      </w:r>
      <w:r>
        <w:t xml:space="preserve">— حل دقیق سری بسل: خطای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تا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انتگرال‌گیر زمانی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ode15s</w:t>
      </w:r>
      <w:r>
        <w:t xml:space="preserve">: اختلاف</w:t>
      </w:r>
      <w:r>
        <w:t xml:space="preserve"> </w:t>
      </w:r>
      <w:r>
        <w:rPr>
          <w:b/>
          <w:bCs/>
        </w:rPr>
        <w:t xml:space="preserve">۰٫۰۰۳ K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موج صوت دوم</w:t>
      </w:r>
      <w:r>
        <w:t xml:space="preserve"> </w:t>
      </w:r>
      <w:r>
        <w:t xml:space="preserve">— حل دقیق تحلیلی: صحت‌سنجی</w:t>
      </w:r>
      <w:r>
        <w:t xml:space="preserve"> </w:t>
      </w:r>
      <w:r>
        <w:rPr>
          <w:b/>
          <w:bCs/>
        </w:rPr>
        <w:t xml:space="preserve">کمّی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این مهم‌ترین سپرِ دفاعی شماست. آرام و با اعتمادبه‌نفس بخوانید.</w:t>
      </w:r>
    </w:p>
    <w:bookmarkEnd w:id="64"/>
    <w:bookmarkStart w:id="68" w:name="X30c358227235641e9319ee109676bed9e95f11f"/>
    <w:p>
      <w:pPr>
        <w:pStyle w:val="Heading1"/>
      </w:pPr>
      <w:r>
        <w:t xml:space="preserve">آزمون ۲: جابجایی شعاعی با مرجع و ANSYS منطبق است</w:t>
      </w:r>
    </w:p>
    <w:p>
      <w:pPr>
        <w:pStyle w:val="FirstParagraph"/>
      </w:pPr>
      <w:r>
        <w:drawing>
          <wp:inline>
            <wp:extent cx="5029200" cy="3592614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../Validation/bench1_U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92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جابجایی شعاعی بی‌بعد سطح داخلی در برابر زمان؛ حل حاضر، مرجع و ANSYS. اختلاف ۰٫۱ تا ۰٫۲٪.</w:t>
      </w:r>
    </w:p>
    <w:bookmarkEnd w:id="68"/>
    <w:bookmarkStart w:id="72" w:name="Xa688f80ea7480bd228ee6db98c9cd392fdfbd48"/>
    <w:p>
      <w:pPr>
        <w:pStyle w:val="Heading1"/>
      </w:pPr>
      <w:r>
        <w:t xml:space="preserve">آزمون ۳: پروفیل دما با حل دقیق بسل منطبق است</w:t>
      </w:r>
    </w:p>
    <w:p>
      <w:pPr>
        <w:pStyle w:val="FirstParagraph"/>
      </w:pPr>
      <w:r>
        <w:drawing>
          <wp:inline>
            <wp:extent cx="5029200" cy="348654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../Validation/bench2_T_profile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86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نشانگرها حل حاضر و خط پیوسته حل دقیق سری بسل است؛ خطای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تا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.</w:t>
      </w:r>
    </w:p>
    <w:bookmarkEnd w:id="72"/>
    <w:bookmarkStart w:id="76" w:name="X51916f61cb73211e4f1c695338bf0e65d6fa603"/>
    <w:p>
      <w:pPr>
        <w:pStyle w:val="Heading1"/>
      </w:pPr>
      <w:r>
        <w:t xml:space="preserve">موج صوت دوم: خطای ۰٫۳۲٪ در برابر حل دقیق تحلیلی</w:t>
      </w:r>
    </w:p>
    <w:p>
      <w:pPr>
        <w:pStyle w:val="Compact"/>
        <w:numPr>
          <w:ilvl w:val="0"/>
          <w:numId w:val="1015"/>
        </w:numPr>
      </w:pPr>
      <w:r>
        <w:t xml:space="preserve">مرجع: حل دقیق فوریه-بسل برای</w:t>
      </w:r>
      <w:r>
        <w:t xml:space="preserve"> </w:t>
      </w:r>
      <w:r>
        <w:rPr>
          <w:b/>
          <w:bCs/>
        </w:rPr>
        <w:t xml:space="preserve">همین هندسه</w:t>
      </w:r>
      <w:r>
        <w:t xml:space="preserve">؛ خطا</w:t>
      </w:r>
      <w:r>
        <w:t xml:space="preserve"> </w:t>
      </w:r>
      <m:oMath>
        <m:r>
          <m:t>0.32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) و</w:t>
      </w:r>
      <w:r>
        <w:t xml:space="preserve"> </w:t>
      </w:r>
      <m:oMath>
        <m:r>
          <m:t>0.065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خطا با ریزسازی شبکه</w:t>
      </w:r>
      <w:r>
        <w:t xml:space="preserve"> </w:t>
      </w:r>
      <w:r>
        <w:rPr>
          <w:b/>
          <w:bCs/>
        </w:rPr>
        <w:t xml:space="preserve">یکنواخت کاهش</w:t>
      </w:r>
      <w:r>
        <w:t xml:space="preserve"> </w:t>
      </w:r>
      <w:r>
        <w:t xml:space="preserve">می‌یابد ← نوسان‌های پشت پیشانی</w:t>
      </w:r>
      <w:r>
        <w:t xml:space="preserve"> </w:t>
      </w:r>
      <w:r>
        <w:rPr>
          <w:b/>
          <w:bCs/>
        </w:rPr>
        <w:t xml:space="preserve">اثر گیبس</w:t>
      </w:r>
      <w:r>
        <w:t xml:space="preserve"> </w:t>
      </w:r>
      <w:r>
        <w:t xml:space="preserve">است، نه ناپایداری.</w:t>
      </w:r>
    </w:p>
    <w:p>
      <w:pPr>
        <w:pStyle w:val="FirstParagraph"/>
      </w:pPr>
      <w:r>
        <w:drawing>
          <wp:inline>
            <wp:extent cx="5029200" cy="2154156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../figures_validation/ls_wave_validation_R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5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اگر پرسیدند «چرا مرجع تحلیلی و نه مقالهٔ چاپ‌شده؟» بگویید: حل دقیق برای همین هندسه استخراج شده، پس مقایسه بدون خطای رقمی‌سازیِ شکلِ مرجع و بدون اختلاف در فرضیات انجام می‌شود. پیشانی موج با دقت کمتر از یک فاصلهٔ شبکه ردیابی می‌شود.</w:t>
      </w:r>
    </w:p>
    <w:bookmarkEnd w:id="76"/>
    <w:bookmarkStart w:id="80" w:name="مش-قفلشده-n_r15-n_z11-n_l7"/>
    <w:p>
      <w:pPr>
        <w:pStyle w:val="Heading1"/>
      </w:pPr>
      <w:r>
        <w:t xml:space="preserve">مش قفل‌شده: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،</w:t>
      </w:r>
      <w: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،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</w:p>
    <w:p>
      <w:pPr>
        <w:pStyle w:val="FirstParagraph"/>
      </w:pPr>
      <w:r>
        <w:drawing>
          <wp:inline>
            <wp:extent cx="5029200" cy="380554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../figures_ch4_color/conv_master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05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راستای محوری راستای مقیدکننده است.</w:t>
      </w:r>
    </w:p>
    <w:bookmarkEnd w:id="80"/>
    <w:bookmarkStart w:id="84" w:name="X9483acd9bc1a2dd7d1160d7ace2b440281577dd"/>
    <w:p>
      <w:pPr>
        <w:pStyle w:val="Heading1"/>
      </w:pPr>
      <w:r>
        <w:t xml:space="preserve">نتیجه ۱: دمای میان‌جداری از مقدار محرک فراتر می‌رود (۱٫۱۱۵)</w:t>
      </w:r>
    </w:p>
    <w:p>
      <w:pPr>
        <w:pStyle w:val="Compact"/>
        <w:numPr>
          <w:ilvl w:val="0"/>
          <w:numId w:val="1016"/>
        </w:numPr>
      </w:pPr>
      <w:r>
        <w:t xml:space="preserve">تا</w:t>
      </w:r>
      <w:r>
        <w:t xml:space="preserve"> </w:t>
      </w:r>
      <w:r>
        <w:rPr>
          <w:b/>
          <w:bCs/>
        </w:rPr>
        <w:t xml:space="preserve">۱٫۱۱۵</w:t>
      </w:r>
      <w:r>
        <w:t xml:space="preserve"> </w:t>
      </w:r>
      <w:r>
        <w:t xml:space="preserve">در کسر وزنی بالای گرافن و</w:t>
      </w:r>
      <w:r>
        <w:t xml:space="preserve"> </w:t>
      </w:r>
      <w:r>
        <w:rPr>
          <w:b/>
          <w:bCs/>
        </w:rPr>
        <w:t xml:space="preserve">۱٫۱۰۹</w:t>
      </w:r>
      <w:r>
        <w:t xml:space="preserve"> </w:t>
      </w:r>
      <w:r>
        <w:t xml:space="preserve">در تخلخل V؛ الگوی «قله-قعر» از بازتاب موج.</w:t>
      </w:r>
    </w:p>
    <w:p>
      <w:pPr>
        <w:pStyle w:val="Compact"/>
        <w:numPr>
          <w:ilvl w:val="0"/>
          <w:numId w:val="1016"/>
        </w:numPr>
      </w:pPr>
      <w:r>
        <w:t xml:space="preserve">در مدل کلاسیک</w:t>
      </w:r>
      <w:r>
        <w:t xml:space="preserve"> </w:t>
      </w:r>
      <w:r>
        <w:rPr>
          <w:b/>
          <w:bCs/>
        </w:rPr>
        <w:t xml:space="preserve">قابل بازتولید نیست</w:t>
      </w:r>
      <w:r>
        <w:t xml:space="preserve">.</w:t>
      </w:r>
    </w:p>
    <w:p>
      <w:pPr>
        <w:pStyle w:val="FirstParagraph"/>
      </w:pPr>
      <w:r>
        <w:drawing>
          <wp:inline>
            <wp:extent cx="5029200" cy="3109417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../figures_ch4_color/C_relaxatio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09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8" w:name="Xf777d7e1e30d0b95cc8da8e2e8310b02b9821c5"/>
    <w:p>
      <w:pPr>
        <w:pStyle w:val="Heading1"/>
      </w:pPr>
      <w:r>
        <w:t xml:space="preserve">نتیجه ۲: گرافن V دما را ۲۹٪ و تنش را تا ۳ برابر کم می‌کند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</w:t>
      </w:r>
      <w:r>
        <w:t xml:space="preserve"> </w:t>
      </w:r>
      <w:r>
        <w:t xml:space="preserve">(رسانا در سطح داخلیِ گرم): دمای بیشینه</w:t>
      </w:r>
      <w:r>
        <w:t xml:space="preserve"> </w:t>
      </w:r>
      <w:r>
        <w:rPr>
          <w:b/>
          <w:bCs/>
        </w:rPr>
        <w:t xml:space="preserve">۲۹٪</w:t>
      </w:r>
      <w:r>
        <w:t xml:space="preserve"> </w:t>
      </w:r>
      <w:r>
        <w:t xml:space="preserve">کمتر؛ تنش محیطی داخلی تا</w:t>
      </w:r>
      <w:r>
        <w:t xml:space="preserve"> </w:t>
      </w:r>
      <w:r>
        <w:rPr>
          <w:b/>
          <w:bCs/>
        </w:rPr>
        <w:t xml:space="preserve">۳ برابر</w:t>
      </w:r>
      <w:r>
        <w:t xml:space="preserve"> </w:t>
      </w:r>
      <w:r>
        <w:t xml:space="preserve">کمتر.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(آینهٔ V)</w:t>
      </w:r>
      <w:r>
        <w:t xml:space="preserve"> </w:t>
      </w:r>
      <w:r>
        <w:rPr>
          <w:b/>
          <w:bCs/>
        </w:rPr>
        <w:t xml:space="preserve">بدترین</w:t>
      </w:r>
      <w:r>
        <w:t xml:space="preserve"> </w:t>
      </w:r>
      <w:r>
        <w:t xml:space="preserve">حالت در هر سه کمیت است.</w:t>
      </w:r>
    </w:p>
    <w:p>
      <w:pPr>
        <w:pStyle w:val="FirstParagraph"/>
      </w:pPr>
      <w:r>
        <w:drawing>
          <wp:inline>
            <wp:extent cx="5029200" cy="3109417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../figures_ch4_color/A_GPL_pattern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09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2" w:name="Xa1e104905a21ce27a9ab3fdf93d301d4f1308bd"/>
    <w:p>
      <w:pPr>
        <w:pStyle w:val="Heading1"/>
      </w:pPr>
      <w:r>
        <w:t xml:space="preserve">نتیجه ۳: تخلخل A همچون سد حرارتی، دمای سطح خارجی را ۸ برابر کم می‌کند</w:t>
      </w:r>
    </w:p>
    <w:p>
      <w:pPr>
        <w:pStyle w:val="Compact"/>
        <w:numPr>
          <w:ilvl w:val="0"/>
          <w:numId w:val="1018"/>
        </w:numPr>
      </w:pPr>
      <w:r>
        <w:t xml:space="preserve">حفره‌ها در سطح خارجی</w:t>
      </w:r>
      <w:r>
        <w:t xml:space="preserve"> </w:t>
      </w:r>
      <w:r>
        <w:rPr>
          <w:b/>
          <w:bCs/>
        </w:rPr>
        <w:t xml:space="preserve">سد حرارتی</w:t>
      </w:r>
      <w:r>
        <w:t xml:space="preserve"> </w:t>
      </w:r>
      <w:r>
        <w:t xml:space="preserve">می‌سازند؛ اما</w:t>
      </w:r>
      <w:r>
        <w:t xml:space="preserve"> </w:t>
      </w:r>
      <w:r>
        <w:rPr>
          <w:b/>
          <w:bCs/>
        </w:rPr>
        <w:t xml:space="preserve">علامت</w:t>
      </w:r>
      <w:r>
        <w:t xml:space="preserve"> </w:t>
      </w:r>
      <w:r>
        <w:t xml:space="preserve">تنش محیطی داخلی را وارون می‌کنند.</w:t>
      </w:r>
    </w:p>
    <w:p>
      <w:pPr>
        <w:pStyle w:val="Compact"/>
        <w:numPr>
          <w:ilvl w:val="0"/>
          <w:numId w:val="1018"/>
        </w:numPr>
      </w:pPr>
      <w:r>
        <w:t xml:space="preserve">الگوی V بیشترین قلهٔ گذرا را دارد (</w:t>
      </w:r>
      <w:r>
        <w:rPr>
          <w:b/>
          <w:bCs/>
        </w:rPr>
        <w:t xml:space="preserve">۱٫۱۱</w:t>
      </w:r>
      <w:r>
        <w:t xml:space="preserve">).</w:t>
      </w:r>
    </w:p>
    <w:p>
      <w:pPr>
        <w:pStyle w:val="FirstParagraph"/>
      </w:pPr>
      <w:r>
        <w:drawing>
          <wp:inline>
            <wp:extent cx="4734797" cy="329184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../figures_ch4_color/B_porosity_pattern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797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6" w:name="X9f09d9b65103a55903723c10dc1af1ae281e6d1"/>
    <w:p>
      <w:pPr>
        <w:pStyle w:val="Heading1"/>
      </w:pPr>
      <w:r>
        <w:t xml:space="preserve">نتیجه ۴ ★: گرافن V + تخلخل A هم‌افزاست — تا ۲۶ برابر کاهش دما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هم‌افزا:</w:t>
      </w:r>
      <w:r>
        <w:t xml:space="preserve"> </w:t>
      </w:r>
      <w:r>
        <w:t xml:space="preserve">V-گرافن با A-تخلخل</w:t>
      </w:r>
      <w:r>
        <w:t xml:space="preserve"> </w:t>
      </w:r>
      <m:oMath>
        <m:r>
          <m:rPr>
            <m:sty m:val="p"/>
          </m:rPr>
          <m:t>→</m:t>
        </m:r>
        <m:r>
          <m:t>0.034</m:t>
        </m:r>
      </m:oMath>
      <w:r>
        <w:t xml:space="preserve">؛</w:t>
      </w:r>
      <w:r>
        <w:t xml:space="preserve"> </w:t>
      </w:r>
      <w:r>
        <w:rPr>
          <w:b/>
          <w:bCs/>
        </w:rPr>
        <w:t xml:space="preserve">خنثی‌کننده:</w:t>
      </w:r>
      <w:r>
        <w:t xml:space="preserve"> </w:t>
      </w:r>
      <w:r>
        <w:t xml:space="preserve">V-گرافن با V-تخلخل</w:t>
      </w:r>
      <w:r>
        <w:t xml:space="preserve"> </w:t>
      </w:r>
      <m:oMath>
        <m:r>
          <m:rPr>
            <m:sty m:val="p"/>
          </m:rPr>
          <m:t>→</m:t>
        </m:r>
        <m:r>
          <m:t>0.692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هم‌راستایی یا تقابل دو الگو</w:t>
      </w:r>
      <w:r>
        <w:t xml:space="preserve"> </w:t>
      </w:r>
      <w:r>
        <w:t xml:space="preserve">تعیین‌کننده است، نه انتخاب یک الگوی «خوب».</w:t>
      </w:r>
    </w:p>
    <w:p>
      <w:pPr>
        <w:pStyle w:val="FirstParagraph"/>
      </w:pPr>
      <w:r>
        <w:drawing>
          <wp:inline>
            <wp:extent cx="4374107" cy="32004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../figures_ch4_color/matrix25_T_xi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107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این مهم‌ترین یافتهٔ پایان‌نامه است. اینجا سرعت را کم کنید، جمله‌بندی را دقیق بگویید و توصیهٔ طراحی را صریح اعلام کنید.</w:t>
      </w:r>
    </w:p>
    <w:bookmarkEnd w:id="96"/>
    <w:bookmarkStart w:id="100" w:name="نتیجه-۵-آستانه-پرکولاسیون-در-کسر-وزنی-۱"/>
    <w:p>
      <w:pPr>
        <w:pStyle w:val="Heading1"/>
      </w:pPr>
      <w:r>
        <w:t xml:space="preserve">نتیجه ۵: آستانهٔ پرکولاسیون در کسر وزنی ≈ ۱٪</w:t>
      </w:r>
    </w:p>
    <w:p>
      <w:pPr>
        <w:pStyle w:val="Compact"/>
        <w:numPr>
          <w:ilvl w:val="0"/>
          <w:numId w:val="1020"/>
        </w:numPr>
      </w:pPr>
      <w:r>
        <w:t xml:space="preserve">گذر از «عایق» به «رسانا»؛ بیشتر از آن، نفوذ حرارتی فقط</w:t>
      </w:r>
      <w:r>
        <w:t xml:space="preserve"> </w:t>
      </w:r>
      <w:r>
        <w:rPr>
          <w:b/>
          <w:bCs/>
        </w:rPr>
        <w:t xml:space="preserve">هموار</w:t>
      </w:r>
      <w:r>
        <w:t xml:space="preserve"> </w:t>
      </w:r>
      <w:r>
        <w:t xml:space="preserve">بهتر می‌شود اما</w:t>
      </w:r>
      <w:r>
        <w:t xml:space="preserve"> </w:t>
      </w:r>
      <w:r>
        <w:rPr>
          <w:b/>
          <w:bCs/>
        </w:rPr>
        <w:t xml:space="preserve">تنش حرارتی دو برابر</w:t>
      </w:r>
      <w:r>
        <w:t xml:space="preserve"> </w:t>
      </w:r>
      <w:r>
        <w:t xml:space="preserve">می‌شود (در ۸٪).</w:t>
      </w:r>
    </w:p>
    <w:p>
      <w:pPr>
        <w:pStyle w:val="Compact"/>
        <w:numPr>
          <w:ilvl w:val="0"/>
          <w:numId w:val="1020"/>
        </w:numPr>
      </w:pPr>
      <w:r>
        <w:t xml:space="preserve">نسبت ابعادی پلاکت اثر</w:t>
      </w:r>
      <w:r>
        <w:t xml:space="preserve"> </w:t>
      </w:r>
      <w:r>
        <w:rPr>
          <w:b/>
          <w:bCs/>
        </w:rPr>
        <w:t xml:space="preserve">درجهٔ دوم</w:t>
      </w:r>
      <w:r>
        <w:t xml:space="preserve"> </w:t>
      </w:r>
      <w:r>
        <w:t xml:space="preserve">دارد (تنش &lt; ۲٪).</w:t>
      </w:r>
    </w:p>
    <w:p>
      <w:pPr>
        <w:pStyle w:val="FirstParagraph"/>
      </w:pPr>
      <w:r>
        <w:drawing>
          <wp:inline>
            <wp:extent cx="4734797" cy="329184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../figures_ch4_color/D_wt_low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797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4" w:name="X9195bc8c0886ab7cf30f52529b57dceadfeaa78"/>
    <w:p>
      <w:pPr>
        <w:pStyle w:val="Heading1"/>
      </w:pPr>
      <w:r>
        <w:t xml:space="preserve">نتیجه ۶: در شوک گاوسی، بیشینهٔ دمای فوریه حدود ۲٫۵ برابر کمتر است</w:t>
      </w:r>
    </w:p>
    <w:p>
      <w:pPr>
        <w:pStyle w:val="Compact"/>
        <w:numPr>
          <w:ilvl w:val="0"/>
          <w:numId w:val="1021"/>
        </w:numPr>
      </w:pPr>
      <w:r>
        <w:t xml:space="preserve">در شوک کوتاه‌مدت، انتخاب مدل هدایت بر پیش‌بینی بیشینهٔ دما اثر زیادی دارد.</w:t>
      </w:r>
    </w:p>
    <w:p>
      <w:pPr>
        <w:pStyle w:val="Compact"/>
        <w:numPr>
          <w:ilvl w:val="0"/>
          <w:numId w:val="1021"/>
        </w:numPr>
      </w:pPr>
      <w:r>
        <w:t xml:space="preserve">حل ممزوج موج را حدود</w:t>
      </w:r>
      <w:r>
        <w:t xml:space="preserve"> </w:t>
      </w:r>
      <w:r>
        <w:rPr>
          <w:b/>
          <w:bCs/>
        </w:rPr>
        <w:t xml:space="preserve">۱٪</w:t>
      </w:r>
      <w:r>
        <w:t xml:space="preserve"> </w:t>
      </w:r>
      <w:r>
        <w:t xml:space="preserve">میرا می‌کند (میرایی ترموالاستیک).</w:t>
      </w:r>
    </w:p>
    <w:p>
      <w:pPr>
        <w:pStyle w:val="FirstParagraph"/>
      </w:pPr>
      <w:r>
        <w:drawing>
          <wp:inline>
            <wp:extent cx="4734797" cy="329184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../figures_ch4_color/M_gauss_shock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797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این یافته را با ذکر شرایط (پالس گاوسی) و بدون مبالغه بیان کنید.</w:t>
      </w:r>
    </w:p>
    <w:bookmarkEnd w:id="104"/>
    <w:bookmarkStart w:id="108" w:name="نتیجه-۷-مقایسه-چهار-تئوری-ترموالاستیسیته"/>
    <w:p>
      <w:pPr>
        <w:pStyle w:val="Heading1"/>
      </w:pPr>
      <w:r>
        <w:t xml:space="preserve">نتیجه ۷: مقایسهٔ چهار تئوری ترموالاستیسیته</w:t>
      </w:r>
    </w:p>
    <w:p>
      <w:pPr>
        <w:pStyle w:val="Compact"/>
        <w:numPr>
          <w:ilvl w:val="0"/>
          <w:numId w:val="1022"/>
        </w:numPr>
      </w:pPr>
      <w:r>
        <w:t xml:space="preserve">فوریه / لرد-شولمن / DPL / گرین-نگدی III؛ تباهیدگی DPL در</w:t>
      </w:r>
      <w: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q</m:t>
            </m:r>
          </m:sub>
        </m:sSub>
      </m:oMath>
      <w:r>
        <w:t xml:space="preserve">؛ فراجهش ماندگار GN-III.</w:t>
      </w:r>
    </w:p>
    <w:p>
      <w:pPr>
        <w:pStyle w:val="FirstParagraph"/>
      </w:pPr>
      <w:r>
        <w:drawing>
          <wp:inline>
            <wp:extent cx="4997842" cy="3474719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../figures_ch4_color/T3_theories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842" cy="3474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09" w:name="نوآوریهای-پژوهش"/>
    <w:p>
      <w:pPr>
        <w:pStyle w:val="Heading1"/>
      </w:pPr>
      <w:r>
        <w:t xml:space="preserve">نوآوری‌های پژوهش</w:t>
      </w:r>
    </w:p>
    <w:p>
      <w:pPr>
        <w:pStyle w:val="Compact"/>
        <w:numPr>
          <w:ilvl w:val="0"/>
          <w:numId w:val="1023"/>
        </w:numPr>
      </w:pPr>
      <w:r>
        <w:t xml:space="preserve">حل</w:t>
      </w:r>
      <w:r>
        <w:t xml:space="preserve"> </w:t>
      </w:r>
      <w:r>
        <w:rPr>
          <w:b/>
          <w:bCs/>
        </w:rPr>
        <w:t xml:space="preserve">کاملاً ممزوج</w:t>
      </w:r>
      <w:r>
        <w:t xml:space="preserve"> </w:t>
      </w:r>
      <w:r>
        <w:t xml:space="preserve">لرد-شولمن برای استوانهٔ چندلایهٔ متخلخلِ گرافنی با DQM لایه‌ایِ دوبعدی.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برهم‌کنش هم‌افزای V-گرافن و A-تخلخل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ماتریس کامل ۵×۵</w:t>
      </w:r>
      <w:r>
        <w:t xml:space="preserve"> </w:t>
      </w:r>
      <w:r>
        <w:t xml:space="preserve">که در مراجع پیشین همتا ندارد.</w:t>
      </w:r>
    </w:p>
    <w:p>
      <w:pPr>
        <w:pStyle w:val="Compact"/>
        <w:numPr>
          <w:ilvl w:val="0"/>
          <w:numId w:val="1023"/>
        </w:numPr>
      </w:pPr>
      <w:r>
        <w:t xml:space="preserve">رفتار</w:t>
      </w:r>
      <w:r>
        <w:t xml:space="preserve"> </w:t>
      </w:r>
      <w:r>
        <w:rPr>
          <w:b/>
          <w:bCs/>
        </w:rPr>
        <w:t xml:space="preserve">«قله-قعر»</w:t>
      </w:r>
      <w:r>
        <w:t xml:space="preserve"> </w:t>
      </w:r>
      <w:r>
        <w:t xml:space="preserve">و آینه‌ایِ الگوها و پیوند آن با سرشت موجی هدایت.</w:t>
      </w:r>
    </w:p>
    <w:p>
      <w:pPr>
        <w:pStyle w:val="Compact"/>
        <w:numPr>
          <w:ilvl w:val="0"/>
          <w:numId w:val="1023"/>
        </w:numPr>
      </w:pPr>
      <w:r>
        <w:t xml:space="preserve">سه مطالعهٔ گسترشی: شش انتگرال‌گیر زمانی، چهار روش مکانی، چهار تئوری.</w:t>
      </w:r>
    </w:p>
    <w:p>
      <w:pPr>
        <w:pStyle w:val="Compact"/>
        <w:numPr>
          <w:ilvl w:val="0"/>
          <w:numId w:val="1023"/>
        </w:numPr>
      </w:pPr>
      <w:r>
        <w:t xml:space="preserve">صحت‌سنجی</w:t>
      </w:r>
      <w:r>
        <w:t xml:space="preserve"> </w:t>
      </w:r>
      <w:r>
        <w:rPr>
          <w:b/>
          <w:bCs/>
        </w:rPr>
        <w:t xml:space="preserve">کمّی</w:t>
      </w:r>
      <w:r>
        <w:t xml:space="preserve"> </w:t>
      </w:r>
      <w:r>
        <w:t xml:space="preserve">موج صوت دوم در برابر حل دقیق تحلیلی.</w:t>
      </w:r>
    </w:p>
    <w:bookmarkEnd w:id="109"/>
    <w:bookmarkStart w:id="110" w:name="نتیجهگیری"/>
    <w:p>
      <w:pPr>
        <w:pStyle w:val="Heading1"/>
      </w:pPr>
      <w:r>
        <w:t xml:space="preserve">نتیجه‌گیری</w:t>
      </w:r>
    </w:p>
    <w:p>
      <w:pPr>
        <w:pStyle w:val="Compact"/>
        <w:numPr>
          <w:ilvl w:val="0"/>
          <w:numId w:val="1024"/>
        </w:numPr>
      </w:pPr>
      <w:r>
        <w:t xml:space="preserve">در</w:t>
      </w:r>
      <w:r>
        <w:t xml:space="preserve"> </w:t>
      </w:r>
      <w:r>
        <w:rPr>
          <w:b/>
          <w:bCs/>
        </w:rPr>
        <w:t xml:space="preserve">شوک حرارتی گذرا</w:t>
      </w:r>
      <w:r>
        <w:t xml:space="preserve">، پیش‌بینی دما و تنش به انتخاب مدل هدایت حساس است؛ در پالس گاوسی فوریه بیشینهٔ دما را حدود ۲٫۵ برابر کمتر می‌دهد.</w:t>
      </w:r>
    </w:p>
    <w:p>
      <w:pPr>
        <w:pStyle w:val="Compact"/>
        <w:numPr>
          <w:ilvl w:val="0"/>
          <w:numId w:val="1024"/>
        </w:numPr>
      </w:pPr>
      <w:r>
        <w:t xml:space="preserve">از دیدگاه طراحی،</w:t>
      </w:r>
      <w:r>
        <w:t xml:space="preserve"> </w:t>
      </w:r>
      <w:r>
        <w:rPr>
          <w:b/>
          <w:bCs/>
        </w:rPr>
        <w:t xml:space="preserve">هم‌راستاسازی گرافن و تخلخل (V-A)</w:t>
      </w:r>
      <w:r>
        <w:t xml:space="preserve"> </w:t>
      </w:r>
      <w:r>
        <w:t xml:space="preserve">بهترین رفتار حرارتی را با کمترین جریمهٔ تنش می‌دهد.</w:t>
      </w:r>
    </w:p>
    <w:p>
      <w:pPr>
        <w:pStyle w:val="Compact"/>
        <w:numPr>
          <w:ilvl w:val="0"/>
          <w:numId w:val="1024"/>
        </w:numPr>
      </w:pPr>
      <w:r>
        <w:t xml:space="preserve">انتخاب الگو باید</w:t>
      </w:r>
      <w:r>
        <w:t xml:space="preserve"> </w:t>
      </w:r>
      <w:r>
        <w:rPr>
          <w:b/>
          <w:bCs/>
        </w:rPr>
        <w:t xml:space="preserve">هم‌زمان</w:t>
      </w:r>
      <w:r>
        <w:t xml:space="preserve"> </w:t>
      </w:r>
      <w:r>
        <w:t xml:space="preserve">از منظر دما و تنش سنجیده شود.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DQM لایه‌ای + نیومارک</w:t>
      </w:r>
      <w:r>
        <w:t xml:space="preserve"> </w:t>
      </w:r>
      <w:r>
        <w:t xml:space="preserve">ابزاری کارآمد و صحت‌سنجی‌شده است.</w:t>
      </w:r>
    </w:p>
    <w:bookmarkEnd w:id="110"/>
    <w:bookmarkStart w:id="111" w:name="محدودیتها-و-پیشنهادها"/>
    <w:p>
      <w:pPr>
        <w:pStyle w:val="Heading1"/>
      </w:pPr>
      <w:r>
        <w:t xml:space="preserve">محدودیت‌ها و پیشنهادها</w:t>
      </w:r>
    </w:p>
    <w:p>
      <w:pPr>
        <w:pStyle w:val="FirstParagraph"/>
      </w:pPr>
      <w:r>
        <w:rPr>
          <w:b/>
          <w:bCs/>
        </w:rPr>
        <w:t xml:space="preserve">محدودیت‌ها</w:t>
      </w:r>
    </w:p>
    <w:p>
      <w:pPr>
        <w:pStyle w:val="Compact"/>
        <w:numPr>
          <w:ilvl w:val="0"/>
          <w:numId w:val="1025"/>
        </w:numPr>
      </w:pPr>
      <w:r>
        <w:t xml:space="preserve">خواص مادی</w:t>
      </w:r>
      <w:r>
        <w:t xml:space="preserve"> </w:t>
      </w:r>
      <w:r>
        <w:rPr>
          <w:b/>
          <w:bCs/>
        </w:rPr>
        <w:t xml:space="preserve">مستقل از دما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مدل</w:t>
      </w:r>
      <w:r>
        <w:t xml:space="preserve"> </w:t>
      </w:r>
      <w:r>
        <w:rPr>
          <w:b/>
          <w:bCs/>
        </w:rPr>
        <w:t xml:space="preserve">الاستیک خطی</w:t>
      </w:r>
      <w:r>
        <w:t xml:space="preserve">، بدون معیار آسیب/شکست.</w:t>
      </w:r>
    </w:p>
    <w:p>
      <w:pPr>
        <w:pStyle w:val="Compact"/>
        <w:numPr>
          <w:ilvl w:val="0"/>
          <w:numId w:val="1025"/>
        </w:numPr>
      </w:pPr>
      <w:r>
        <w:t xml:space="preserve">پیوند</w:t>
      </w:r>
      <w:r>
        <w:t xml:space="preserve"> </w:t>
      </w:r>
      <w:r>
        <w:rPr>
          <w:b/>
          <w:bCs/>
        </w:rPr>
        <w:t xml:space="preserve">کامل</w:t>
      </w:r>
      <w:r>
        <w:t xml:space="preserve"> </w:t>
      </w:r>
      <w:r>
        <w:t xml:space="preserve">بین‌لایه‌ای (بدون مقاومت حرارتی فصل‌مشترک).</w:t>
      </w:r>
    </w:p>
    <w:p>
      <w:pPr>
        <w:pStyle w:val="FirstParagraph"/>
      </w:pPr>
      <w:r>
        <w:rPr>
          <w:b/>
          <w:bCs/>
        </w:rPr>
        <w:t xml:space="preserve">پیشنهادها</w:t>
      </w:r>
    </w:p>
    <w:p>
      <w:pPr>
        <w:pStyle w:val="Compact"/>
        <w:numPr>
          <w:ilvl w:val="0"/>
          <w:numId w:val="1026"/>
        </w:numPr>
      </w:pPr>
      <w:r>
        <w:t xml:space="preserve">وابستگی خواص به دما و رفتار</w:t>
      </w:r>
      <w:r>
        <w:t xml:space="preserve"> </w:t>
      </w:r>
      <w:r>
        <w:rPr>
          <w:b/>
          <w:bCs/>
        </w:rPr>
        <w:t xml:space="preserve">غیرخطی/آسیب</w:t>
      </w:r>
      <w:r>
        <w:t xml:space="preserve">؛</w:t>
      </w:r>
      <w:r>
        <w:t xml:space="preserve"> </w:t>
      </w:r>
      <w:r>
        <w:rPr>
          <w:b/>
          <w:bCs/>
        </w:rPr>
        <w:t xml:space="preserve">مقاومت حرارتی فصل‌مشترک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صحت‌سنجی تجربی</w:t>
      </w:r>
      <w:r>
        <w:t xml:space="preserve"> </w:t>
      </w:r>
      <w:r>
        <w:t xml:space="preserve">و نمودار طراحیِ مهندسی بر پایهٔ یافتهٔ V-A.</w:t>
      </w:r>
    </w:p>
    <w:bookmarkEnd w:id="111"/>
    <w:bookmarkStart w:id="112" w:name="با-تشکر-از-توجه-شما"/>
    <w:p>
      <w:pPr>
        <w:pStyle w:val="Heading1"/>
      </w:pPr>
      <w:r>
        <w:t xml:space="preserve">با تشکر از توجه شما</w:t>
      </w:r>
    </w:p>
    <w:p>
      <w:pPr>
        <w:pStyle w:val="FirstParagraph"/>
      </w:pPr>
      <w:r>
        <w:t xml:space="preserve">پرسش و پاسخ</w:t>
      </w:r>
    </w:p>
    <w:bookmarkEnd w:id="112"/>
    <w:bookmarkStart w:id="113" w:name="اسلایدهای-پشتیبان"/>
    <w:p>
      <w:pPr>
        <w:pStyle w:val="Heading1"/>
      </w:pPr>
      <w:r>
        <w:t xml:space="preserve">اسلایدهای پشتیبان</w:t>
      </w:r>
    </w:p>
    <w:bookmarkEnd w:id="113"/>
    <w:bookmarkStart w:id="117" w:name="پشتیبان-۱-آزمون-۱-حد-استاتیکی-شکل-۴-۵"/>
    <w:p>
      <w:pPr>
        <w:pStyle w:val="Heading1"/>
      </w:pPr>
      <w:r>
        <w:t xml:space="preserve">پشتیبان ۱ — آزمون ۱: حد استاتیکی (شکل ۴-۵)</w:t>
      </w:r>
    </w:p>
    <w:p>
      <w:pPr>
        <w:pStyle w:val="Compact"/>
        <w:numPr>
          <w:ilvl w:val="0"/>
          <w:numId w:val="1027"/>
        </w:numPr>
      </w:pPr>
      <w:r>
        <w:t xml:space="preserve">۴۵ نقطهٔ شعاعی؛ بیشینهٔ اختلاف مطلق</w:t>
      </w:r>
      <w:r>
        <w:t xml:space="preserve"> </w:t>
      </w:r>
      <m:oMath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m و نسبی</w:t>
      </w:r>
      <w:r>
        <w:t xml:space="preserve"> </w:t>
      </w:r>
      <m:oMath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.</w:t>
      </w:r>
    </w:p>
    <w:p>
      <w:pPr>
        <w:pStyle w:val="FirstParagraph"/>
      </w:pPr>
      <w:r>
        <w:drawing>
          <wp:inline>
            <wp:extent cx="5029200" cy="3110291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../figures_validation/verif_test1_static_R3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0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21" w:name="Xe5f49db26db7768294e51aa875c57b0c372d90a"/>
    <w:p>
      <w:pPr>
        <w:pStyle w:val="Heading1"/>
      </w:pPr>
      <w:r>
        <w:t xml:space="preserve">پشتیبان ۲ — آزمون ۴: انتگرال‌گیر زمانی (شکل ۴-۸)</w:t>
      </w:r>
    </w:p>
    <w:p>
      <w:pPr>
        <w:pStyle w:val="Compact"/>
        <w:numPr>
          <w:ilvl w:val="0"/>
          <w:numId w:val="1028"/>
        </w:numPr>
      </w:pPr>
      <w:r>
        <w:t xml:space="preserve">خطای بیشینه: نیومارک</w:t>
      </w:r>
      <w:r>
        <w:t xml:space="preserve"> </w:t>
      </w:r>
      <w:r>
        <w:rPr>
          <w:b/>
          <w:bCs/>
        </w:rPr>
        <w:t xml:space="preserve">۰٫۰۰۳۱۹ K</w:t>
      </w:r>
      <w:r>
        <w:t xml:space="preserve">،</w:t>
      </w:r>
      <w:r>
        <w:t xml:space="preserve"> </w:t>
      </w:r>
      <w:r>
        <w:rPr>
          <w:rStyle w:val="VerbatimChar"/>
        </w:rPr>
        <w:t xml:space="preserve">ode15s</w:t>
      </w:r>
      <w:r>
        <w:t xml:space="preserve"> </w:t>
      </w:r>
      <w:r>
        <w:rPr>
          <w:b/>
          <w:bCs/>
        </w:rPr>
        <w:t xml:space="preserve">۰٫۰۰۰۲۶ K</w:t>
      </w:r>
      <w:r>
        <w:t xml:space="preserve">؛ هزینهٔ نیومارک حدود یک‌دهم.</w:t>
      </w:r>
    </w:p>
    <w:p>
      <w:pPr>
        <w:pStyle w:val="FirstParagraph"/>
      </w:pPr>
      <w:r>
        <w:drawing>
          <wp:inline>
            <wp:extent cx="5029200" cy="3110291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../figures_validation/verif_test4_integrator_R3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0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56" Target="media/rId56.png" /><Relationship Type="http://schemas.openxmlformats.org/officeDocument/2006/relationships/image" Id="rId46" Target="media/rId46.png" /><Relationship Type="http://schemas.openxmlformats.org/officeDocument/2006/relationships/image" Id="rId41" Target="media/rId41.png" /><Relationship Type="http://schemas.openxmlformats.org/officeDocument/2006/relationships/image" Id="rId50" Target="media/rId50.png" /><Relationship Type="http://schemas.openxmlformats.org/officeDocument/2006/relationships/image" Id="rId60" Target="media/rId60.png" /><Relationship Type="http://schemas.openxmlformats.org/officeDocument/2006/relationships/image" Id="rId34" Target="media/rId3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81" Target="media/rId81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77" Target="media/rId77.png" /><Relationship Type="http://schemas.openxmlformats.org/officeDocument/2006/relationships/image" Id="rId93" Target="media/rId93.png" /><Relationship Type="http://schemas.openxmlformats.org/officeDocument/2006/relationships/image" Id="rId73" Target="media/rId73.png" /><Relationship Type="http://schemas.openxmlformats.org/officeDocument/2006/relationships/image" Id="rId114" Target="media/rId114.png" /><Relationship Type="http://schemas.openxmlformats.org/officeDocument/2006/relationships/image" Id="rId118" Target="media/rId118.png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تحلیل ترموالاستیک استوانه‌های متخلخلِ تقویت‌شده با پلاکت‌های گرافنی تحت بارِ ترمو-مکانیکی با استفاده از تئوری لرد-شولمن</dc:title>
  <dc:creator>نگارنده: ‹نام دانشجو› | استاد راهنما: ‹نام استاد راهنما›</dc:creator>
  <cp:keywords/>
  <dcterms:created xsi:type="dcterms:W3CDTF">2026-10-12T18:32:49Z</dcterms:created>
  <dcterms:modified xsi:type="dcterms:W3CDTF">2026-10-12T18:32:49Z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‹نام دانشگاه و دانشکده› — ‹تاریخ دفاع›</vt:lpwstr>
  </property>
</Properties>
</file>