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7.png" ContentType="image/png"/>
  <Override PartName="/word/media/rId101.png" ContentType="image/png"/>
  <Override PartName="/word/media/rId105.png" ContentType="image/png"/>
  <Override PartName="/word/media/rId109.png" ContentType="image/png"/>
  <Override PartName="/word/media/rId50.png" ContentType="image/png"/>
  <Override PartName="/word/media/rId53.png" ContentType="image/png"/>
  <Override PartName="/word/media/rId69.png" ContentType="image/png"/>
  <Override PartName="/word/media/rId117.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bw/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bw/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bw/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bw/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bw/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708431"/>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bw/A_GPL_patterns.png" id="34" name="Picture"/>
                    <pic:cNvPicPr>
                      <a:picLocks noChangeArrowheads="1" noChangeAspect="1"/>
                    </pic:cNvPicPr>
                  </pic:nvPicPr>
                  <pic:blipFill>
                    <a:blip r:embed="rId3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bw/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bw/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bw/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bw/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297867"/>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bw/O_aspect_ab.png" id="52" name="Picture"/>
                    <pic:cNvPicPr>
                      <a:picLocks noChangeArrowheads="1" noChangeAspect="1"/>
                    </pic:cNvPicPr>
                  </pic:nvPicPr>
                  <pic:blipFill>
                    <a:blip r:embed="rId50"/>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bw/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bw/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bw/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297867"/>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bw/G_pressure.png" id="67" name="Picture"/>
                    <pic:cNvPicPr>
                      <a:picLocks noChangeArrowheads="1" noChangeAspect="1"/>
                    </pic:cNvPicPr>
                  </pic:nvPicPr>
                  <pic:blipFill>
                    <a:blip r:embed="rId6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bw/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100"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bw/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bw/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297867"/>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bw/gplpor_porUD.png" id="81" name="Picture"/>
                    <pic:cNvPicPr>
                      <a:picLocks noChangeArrowheads="1" noChangeAspect="1"/>
                    </pic:cNvPicPr>
                  </pic:nvPicPr>
                  <pic:blipFill>
                    <a:blip r:embed="rId79"/>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708431"/>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bw/gplpor_porO.png" id="84" name="Picture"/>
                    <pic:cNvPicPr>
                      <a:picLocks noChangeArrowheads="1" noChangeAspect="1"/>
                    </pic:cNvPicPr>
                  </pic:nvPicPr>
                  <pic:blipFill>
                    <a:blip r:embed="rId8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bw/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bw/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BodyText"/>
      </w:pPr>
      <w:r>
        <w:drawing>
          <wp:inline>
            <wp:extent cx="5334000" cy="3708431"/>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bw/gplpor_porA.png" id="93" name="Picture"/>
                    <pic:cNvPicPr>
                      <a:picLocks noChangeArrowheads="1" noChangeAspect="1"/>
                    </pic:cNvPicPr>
                  </pic:nvPicPr>
                  <pic:blipFill>
                    <a:blip r:embed="rId91"/>
                    <a:stretch>
                      <a:fillRect/>
                    </a:stretch>
                  </pic:blipFill>
                  <pic:spPr bwMode="auto">
                    <a:xfrm>
                      <a:off x="0" y="0"/>
                      <a:ext cx="5334000" cy="3708431"/>
                    </a:xfrm>
                    <a:prstGeom prst="rect">
                      <a:avLst/>
                    </a:prstGeom>
                    <a:noFill/>
                    <a:ln w="9525">
                      <a:noFill/>
                      <a:headEnd/>
                      <a:tailEnd/>
                    </a:ln>
                  </pic:spPr>
                </pic:pic>
              </a:graphicData>
            </a:graphic>
          </wp:inline>
        </w:drawing>
      </w:r>
      <w:r>
        <w:t xml:space="preserve"> </w:t>
      </w:r>
      <w:r>
        <w:t xml:space="preserve">To distil the interaction into a single view, Figure 4-24 draws the extreme combinations together against the UD-UD reference: the best thermal case V-A, which holds the outer-surface temperature at T* = 0.034, the worst thermal case A-UD (0.896), and the worst mechanical case X-V, whose peak hoop stress reaches 4.20 — while the UD-UD reference is itself the best mechanical case (lowest peak hoop, 2.11). The figure makes the design trade-off explicit: V-A minimizes the outer-surface temperature at the price of a larger displacement, whereas X-V is benign thermally but the most highly stressed of all twenty-five combinations.</w:t>
      </w:r>
    </w:p>
    <w:p>
      <w:pPr>
        <w:pStyle w:val="BodyText"/>
      </w:pPr>
      <w:r>
        <w:rPr>
          <w:b/>
          <w:bCs/>
        </w:rPr>
        <w:t xml:space="preserve">4-24</w:t>
      </w:r>
    </w:p>
    <w:p>
      <w:pPr>
        <w:pStyle w:val="BodyText"/>
      </w:pPr>
      <w:r>
        <w:drawing>
          <wp:inline>
            <wp:extent cx="5334000" cy="3708431"/>
            <wp:effectExtent b="0" l="0" r="0" t="0"/>
            <wp:docPr descr="Figure 4-24: Best and worst GPL x porosity combinations in thermal and mechanical terms: V-A (best thermal, outer T*=0.034), A-UD (worst thermal, 0.896) and X-V (worst hoop stress, 4.20), against the UD-UD reference (best mechanical, peak hoop 2.11) [R_i=1, R_o=1.5, L=2.1 m, N_L=7, W_GPL=0.3%, e_m3=0.8604, τ*=0.15, P_i=50 MPa, simply supported]" title="" id="95" name="Picture"/>
            <a:graphic>
              <a:graphicData uri="http://schemas.openxmlformats.org/drawingml/2006/picture">
                <pic:pic>
                  <pic:nvPicPr>
                    <pic:cNvPr descr="figures_ch4_bw/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r>
        <w:t xml:space="preserve"> </w:t>
      </w:r>
      <w:r>
        <w:t xml:space="preserve">## 4-14. Effect of the coupling of the equations</w:t>
      </w:r>
    </w:p>
    <w:p>
      <w:pPr>
        <w:pStyle w:val="BodyText"/>
      </w:pPr>
      <w:r>
        <w:rPr>
          <w:b/>
          <w:bCs/>
        </w:rPr>
        <w:t xml:space="preserve">4-25</w:t>
      </w:r>
    </w:p>
    <w:p>
      <w:pPr>
        <w:pStyle w:val="CaptionedFigure"/>
      </w:pPr>
      <w:r>
        <w:drawing>
          <wp:inline>
            <wp:extent cx="5334000" cy="3708431"/>
            <wp:effectExtent b="0" l="0" r="0" t="0"/>
            <wp:docPr descr="Figure 4-25: Effect of thermo-mechanical coupling — fully coupled versus uncoupled energy equation [R_o/R_i=1.5, L=2.1 m, N_L=7, W_GPL=0.3%, e_m3=0.8604, τ*=0.15, P_i=50 MPa, simply supported]" title="" id="98" name="Picture"/>
            <a:graphic>
              <a:graphicData uri="http://schemas.openxmlformats.org/drawingml/2006/picture">
                <pic:pic>
                  <pic:nvPicPr>
                    <pic:cNvPr descr="figures_ch4_bw/I_coupling.png" id="99" name="Picture"/>
                    <pic:cNvPicPr>
                      <a:picLocks noChangeArrowheads="1" noChangeAspect="1"/>
                    </pic:cNvPicPr>
                  </pic:nvPicPr>
                  <pic:blipFill>
                    <a:blip r:embed="rId97"/>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thermo-mechanical coupling — fully coupled versus uncoupled energy equation [R_o/R_i=1.5, L=2.1 m, N_L=7, W_GPL=0.3%, e_m3=0.8604, τ*=0.15, P_i=50 MPa, simply supported]</w:t>
      </w:r>
    </w:p>
    <w:p>
      <w:pPr>
        <w:pStyle w:val="BodyText"/>
      </w:pPr>
      <w:r>
        <w:t xml:space="preserve">Figure 4-25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100"/>
    <w:bookmarkStart w:id="104" w:name="Xb006e1994140170e308a706d86645cac631d9cb"/>
    <w:p>
      <w:pPr>
        <w:pStyle w:val="Heading2"/>
      </w:pPr>
      <w:r>
        <w:t xml:space="preserve">4-15. Effect of the outer-surface convection coefficient</w:t>
      </w:r>
    </w:p>
    <w:p>
      <w:pPr>
        <w:pStyle w:val="FirstParagraph"/>
      </w:pPr>
      <w:r>
        <w:rPr>
          <w:b/>
          <w:bCs/>
        </w:rPr>
        <w:t xml:space="preserve">4-26</w:t>
      </w:r>
    </w:p>
    <w:p>
      <w:pPr>
        <w:pStyle w:val="CaptionedFigure"/>
      </w:pPr>
      <w:r>
        <w:drawing>
          <wp:inline>
            <wp:extent cx="5334000" cy="3708431"/>
            <wp:effectExtent b="0" l="0" r="0" t="0"/>
            <wp:docPr descr="Figure 4-26: Effect of the outer-surface convection coefficient h_c = 10 / 100 / 1000 W/m²K [R_o/R_i=1.5, L=2.1 m, N_L=7, W_GPL=0.3%, e_m3=0.8604, τ*=0.15, P_i=50 MPa, simply supported]" title="" id="102" name="Picture"/>
            <a:graphic>
              <a:graphicData uri="http://schemas.openxmlformats.org/drawingml/2006/picture">
                <pic:pic>
                  <pic:nvPicPr>
                    <pic:cNvPr descr="figures_ch4_bw/J_convection.png" id="103" name="Picture"/>
                    <pic:cNvPicPr>
                      <a:picLocks noChangeArrowheads="1" noChangeAspect="1"/>
                    </pic:cNvPicPr>
                  </pic:nvPicPr>
                  <pic:blipFill>
                    <a:blip r:embed="rId10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outer-surface convection coefficient h_c = 10 / 100 / 1000 W/m²K [R_o/R_i=1.5, L=2.1 m, N_L=7, W_GPL=0.3%, e_m3=0.8604, τ*=0.15, P_i=50 MPa, simply supported]</w:t>
      </w:r>
    </w:p>
    <w:p>
      <w:pPr>
        <w:pStyle w:val="BodyText"/>
      </w:pPr>
      <w:r>
        <w:t xml:space="preserve">Figure 4-26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4"/>
    <w:bookmarkStart w:id="108" w:name="effect-of-the-wall-thickness"/>
    <w:p>
      <w:pPr>
        <w:pStyle w:val="Heading2"/>
      </w:pPr>
      <w:r>
        <w:t xml:space="preserve">4-16. Effect of the wall thickness</w:t>
      </w:r>
    </w:p>
    <w:p>
      <w:pPr>
        <w:pStyle w:val="FirstParagraph"/>
      </w:pPr>
      <w:r>
        <w:rPr>
          <w:b/>
          <w:bCs/>
        </w:rPr>
        <w:t xml:space="preserve">4-27</w:t>
      </w:r>
    </w:p>
    <w:p>
      <w:pPr>
        <w:pStyle w:val="CaptionedFigure"/>
      </w:pPr>
      <w:r>
        <w:drawing>
          <wp:inline>
            <wp:extent cx="5334000" cy="3297867"/>
            <wp:effectExtent b="0" l="0" r="0" t="0"/>
            <wp:docPr descr="Figure 4-27: Effect of the wall thickness, radius ratio R_o/R_i = 1.25 / 1.5 / 2.0 (inner radius fixed at 1 m) [L=2.1 m, N_L=7, W_GPL=0.3%, e_m3=0.8604, τ*=0.15, P_i=50 MPa, simply supported]" title="" id="106" name="Picture"/>
            <a:graphic>
              <a:graphicData uri="http://schemas.openxmlformats.org/drawingml/2006/picture">
                <pic:pic>
                  <pic:nvPicPr>
                    <pic:cNvPr descr="figures_ch4_bw/K_thickness.png" id="107" name="Picture"/>
                    <pic:cNvPicPr>
                      <a:picLocks noChangeArrowheads="1" noChangeAspect="1"/>
                    </pic:cNvPicPr>
                  </pic:nvPicPr>
                  <pic:blipFill>
                    <a:blip r:embed="rId10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4-27: Effect of the wall thickness, radius ratio R_o/R_i = 1.25 / 1.5 / 2.0 (inner radius fixed at 1 m) [L=2.1 m, N_L=7, W_GPL=0.3%, e_m3=0.8604, τ*=0.15, P_i=50 MPa, simply supported]</w:t>
      </w:r>
    </w:p>
    <w:p>
      <w:pPr>
        <w:pStyle w:val="BodyText"/>
      </w:pPr>
      <w:r>
        <w:t xml:space="preserve">Figure 4-27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8"/>
    <w:bookmarkStart w:id="112" w:name="response-to-a-gaussian-thermal-shock"/>
    <w:p>
      <w:pPr>
        <w:pStyle w:val="Heading2"/>
      </w:pPr>
      <w:r>
        <w:t xml:space="preserve">4-17. Response to a Gaussian thermal shock</w:t>
      </w:r>
    </w:p>
    <w:p>
      <w:pPr>
        <w:pStyle w:val="FirstParagraph"/>
      </w:pPr>
      <w:r>
        <w:rPr>
          <w:b/>
          <w:bCs/>
        </w:rPr>
        <w:t xml:space="preserve">4-28</w:t>
      </w:r>
    </w:p>
    <w:p>
      <w:pPr>
        <w:pStyle w:val="CaptionedFigure"/>
      </w:pPr>
      <w:r>
        <w:drawing>
          <wp:inline>
            <wp:extent cx="5334000" cy="3708431"/>
            <wp:effectExtent b="0" l="0" r="0" t="0"/>
            <wp:docPr descr="Figure 4-28: Response to a Gaussian thermal shock — Lord–Shulman versus Fourier [R_o/R_i=1.5, L=2.1 m, N_L=7, W_GPL=0.3%, e_m3=0.8604, P_i=50 MPa, simply supported]" title="" id="110" name="Picture"/>
            <a:graphic>
              <a:graphicData uri="http://schemas.openxmlformats.org/drawingml/2006/picture">
                <pic:pic>
                  <pic:nvPicPr>
                    <pic:cNvPr descr="figures_ch4_bw/M_gauss_shock.png" id="111" name="Picture"/>
                    <pic:cNvPicPr>
                      <a:picLocks noChangeArrowheads="1" noChangeAspect="1"/>
                    </pic:cNvPicPr>
                  </pic:nvPicPr>
                  <pic:blipFill>
                    <a:blip r:embed="rId10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4-28).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12"/>
    <w:bookmarkStart w:id="113"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3"/>
    <w:bookmarkStart w:id="120"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with the slope −2 reference line — second-order convergence, along which the error falls as N⁻² so that halving the node spacing quarters the error;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p>
      <w:pPr>
        <w:pStyle w:val="BodyText"/>
      </w:pPr>
      <w:r>
        <w:t xml:space="preserve">Figure 4-29 plots the maximum error of each method against the number of radial nodes N on logarithmic axes, together with the dotted slope −2 reference line.</w:t>
      </w:r>
    </w:p>
    <w:p>
      <w:pPr>
        <w:pStyle w:val="BodyText"/>
      </w:pPr>
      <w:r>
        <w:rPr>
          <w:b/>
          <w:bCs/>
        </w:rPr>
        <w:t xml:space="preserve">4-29</w:t>
      </w:r>
    </w:p>
    <w:p>
      <w:pPr>
        <w:pStyle w:val="BodyText"/>
      </w:pPr>
      <w:r>
        <w:drawing>
          <wp:inline>
            <wp:extent cx="5334000" cy="3828753"/>
            <wp:effectExtent b="0" l="0" r="0" t="0"/>
            <wp:docPr descr="Figure 4-29: Spatial-discretization convergence on the transient-conduction benchmark: maximum error versus number of radial nodes N for DQM (Chebyshev and uniform), 2nd-order FDM, and linear/quadratic FEM; the dotted line marks slope -2 (second-order convergence)" title="" id="115" name="Picture"/>
            <a:graphic>
              <a:graphicData uri="http://schemas.openxmlformats.org/drawingml/2006/picture">
                <pic:pic>
                  <pic:nvPicPr>
                    <pic:cNvPr descr="figures_ch4_bw/spatial_convergence.png" id="116" name="Picture"/>
                    <pic:cNvPicPr>
                      <a:picLocks noChangeArrowheads="1" noChangeAspect="1"/>
                    </pic:cNvPicPr>
                  </pic:nvPicPr>
                  <pic:blipFill>
                    <a:blip r:embed="rId114"/>
                    <a:stretch>
                      <a:fillRect/>
                    </a:stretch>
                  </pic:blipFill>
                  <pic:spPr bwMode="auto">
                    <a:xfrm>
                      <a:off x="0" y="0"/>
                      <a:ext cx="5334000" cy="3828753"/>
                    </a:xfrm>
                    <a:prstGeom prst="rect">
                      <a:avLst/>
                    </a:prstGeom>
                    <a:noFill/>
                    <a:ln w="9525">
                      <a:noFill/>
                      <a:headEnd/>
                      <a:tailEnd/>
                    </a:ln>
                  </pic:spPr>
                </pic:pic>
              </a:graphicData>
            </a:graphic>
          </wp:inline>
        </w:drawing>
      </w:r>
      <w:r>
        <w:t xml:space="preserve"> </w:t>
      </w:r>
      <w:r>
        <w:t xml:space="preserve">## 4-20. Comparison of the generalized thermoelasticity theories</w:t>
      </w:r>
    </w:p>
    <w:p>
      <w:pPr>
        <w:pStyle w:val="BodyText"/>
      </w:pPr>
      <w:r>
        <w:rPr>
          <w:b/>
          <w:bCs/>
        </w:rPr>
        <w:t xml:space="preserve">4-30</w:t>
      </w:r>
    </w:p>
    <w:p>
      <w:pPr>
        <w:pStyle w:val="CaptionedFigure"/>
      </w:pPr>
      <w:r>
        <w:drawing>
          <wp:inline>
            <wp:extent cx="5334000" cy="3708431"/>
            <wp:effectExtent b="0" l="0" r="0" t="0"/>
            <wp:docPr descr="Figure 4-30: Comparison of the generalized thermoelasticity theories — Fourier, Lord–Shulman, dual-phase-lag and Green–Naghdi III [R_o/R_i=1.5, L=2.1 m, N_L=7, W_GPL=0.3%, e_m3=0.8604, τ*=0.15, P_i=50 MPa, simply supported]" title="" id="118" name="Picture"/>
            <a:graphic>
              <a:graphicData uri="http://schemas.openxmlformats.org/drawingml/2006/picture">
                <pic:pic>
                  <pic:nvPicPr>
                    <pic:cNvPr descr="figures_ch4_bw/T3_theories.png" id="119" name="Picture"/>
                    <pic:cNvPicPr>
                      <a:picLocks noChangeArrowheads="1" noChangeAspect="1"/>
                    </pic:cNvPicPr>
                  </pic:nvPicPr>
                  <pic:blipFill>
                    <a:blip r:embed="rId117"/>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4-30: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4-30,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20"/>
    <w:bookmarkStart w:id="121"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7" Target="media/rId117.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2026-08-04T11:12:30Z</dcterms:created>
  <dcterms:modified xsi:type="dcterms:W3CDTF">2026-08-04T11:12:30Z</dcterms:modified>
</cp:coreProperties>
</file>

<file path=docProps/custom.xml><?xml version="1.0" encoding="utf-8"?>
<Properties xmlns="http://schemas.openxmlformats.org/officeDocument/2006/custom-properties" xmlns:vt="http://schemas.openxmlformats.org/officeDocument/2006/docPropsVTypes"/>
</file>