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36.png" ContentType="image/png"/>
  <Override PartName="/word/media/rId57.png" ContentType="image/png"/>
  <Override PartName="/word/media/rId46.png" ContentType="image/png"/>
  <Override PartName="/word/media/rId43.png" ContentType="image/png"/>
  <Override PartName="/word/media/rId39.png" ContentType="image/png"/>
  <Override PartName="/word/media/rId61.png" ContentType="image/png"/>
  <Override PartName="/word/media/rId65.png" ContentType="image/png"/>
  <Override PartName="/word/media/rId80.png" ContentType="image/png"/>
  <Override PartName="/word/media/rId84.png" ContentType="image/png"/>
  <Override PartName="/word/media/rId88.png" ContentType="image/png"/>
  <Override PartName="/word/media/rId92.png" ContentType="image/png"/>
  <Override PartName="/word/media/rId50.png" ContentType="image/png"/>
  <Override PartName="/word/media/rId53.png" ContentType="image/png"/>
  <Override PartName="/word/media/rId69.png" ContentType="image/png"/>
  <Override PartName="/word/media/rId98.png" ContentType="image/png"/>
  <Override PartName="/word/media/rId25.png" ContentType="image/png"/>
  <Override PartName="/word/media/rId28.png" ContentType="image/png"/>
  <Override PartName="/word/media/rId19.png" ContentType="image/png"/>
  <Override PartName="/word/media/rId11.png" ContentType="image/png"/>
  <Override PartName="/word/media/rId15.png" ContentType="image/png"/>
  <Override PartName="/word/media/rId76.png" ContentType="image/png"/>
  <Override PartName="/word/media/rId7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3" w:name="chapter-4-research-findings"/>
    <w:p>
      <w:pPr>
        <w:pStyle w:val="Heading1"/>
      </w:pPr>
      <w:r>
        <w:t xml:space="preserve">Chapter 4: Research Findings</w:t>
      </w:r>
    </w:p>
    <w:bookmarkStart w:id="9" w:name="introduction"/>
    <w:p>
      <w:pPr>
        <w:pStyle w:val="Heading2"/>
      </w:pPr>
      <w:r>
        <w:t xml:space="preserve">4-1. Introduction</w:t>
      </w:r>
    </w:p>
    <w:p>
      <w:pPr>
        <w:pStyle w:val="FirstParagraph"/>
      </w:pPr>
      <w:r>
        <w:t xml:space="preserve">This chapter presents and discusses the numerical findings for the multilayer</w:t>
      </w:r>
      <w:r>
        <w:t xml:space="preserve"> </w:t>
      </w:r>
      <w:r>
        <w:t xml:space="preserve">porous GPL-reinforced hollow cylinder under thermo-mechanical loading, based on</w:t>
      </w:r>
      <w:r>
        <w:t xml:space="preserve"> </w:t>
      </w:r>
      <w:r>
        <w:t xml:space="preserve">the governing equations and the solution method of Chapter 3. First the</w:t>
      </w:r>
      <w:r>
        <w:t xml:space="preserve"> </w:t>
      </w:r>
      <w:r>
        <w:t xml:space="preserve">reference problem and the dimensionless quantities are introduced; then the</w:t>
      </w:r>
      <w:r>
        <w:t xml:space="preserve"> </w:t>
      </w:r>
      <w:r>
        <w:t xml:space="preserve">numerical convergence of the solution and its verification — treated as two</w:t>
      </w:r>
      <w:r>
        <w:t xml:space="preserve"> </w:t>
      </w:r>
      <w:r>
        <w:t xml:space="preserve">independent topics — are established through separate tests. The main</w:t>
      </w:r>
      <w:r>
        <w:t xml:space="preserve"> </w:t>
      </w:r>
      <w:r>
        <w:t xml:space="preserve">parametric studies follow: the GPL distribution pattern; the porosity pattern</w:t>
      </w:r>
      <w:r>
        <w:t xml:space="preserve"> </w:t>
      </w:r>
      <w:r>
        <w:t xml:space="preserve">and level; the GPL weight fraction; the platelet aspect ratios (length-to-width</w:t>
      </w:r>
      <w:r>
        <w:t xml:space="preserve"> </w:t>
      </w:r>
      <w:r>
        <w:t xml:space="preserve">a/b and width-to-thickness b/t); the relaxation time; the end supports; the</w:t>
      </w:r>
      <w:r>
        <w:t xml:space="preserve"> </w:t>
      </w:r>
      <w:r>
        <w:t xml:space="preserve">internal pressure; the cylinder length; the full interaction matrix of the GPL</w:t>
      </w:r>
      <w:r>
        <w:t xml:space="preserve"> </w:t>
      </w:r>
      <w:r>
        <w:t xml:space="preserve">and porosity patterns; the coupling of the equations; the convection</w:t>
      </w:r>
      <w:r>
        <w:t xml:space="preserve"> </w:t>
      </w:r>
      <w:r>
        <w:t xml:space="preserve">coefficient; the wall thickness; and a Gaussian thermal shock. Finally, three</w:t>
      </w:r>
      <w:r>
        <w:t xml:space="preserve"> </w:t>
      </w:r>
      <w:r>
        <w:t xml:space="preserve">extension studies that go beyond comparable previous works [6] — a comparison of</w:t>
      </w:r>
      <w:r>
        <w:t xml:space="preserve"> </w:t>
      </w:r>
      <w:r>
        <w:t xml:space="preserve">time-integration methods, a comparison of spatial-discretization methods, and a</w:t>
      </w:r>
      <w:r>
        <w:t xml:space="preserve"> </w:t>
      </w:r>
      <w:r>
        <w:t xml:space="preserve">comparison of generalized thermoelasticity theories — are reported, and the</w:t>
      </w:r>
      <w:r>
        <w:t xml:space="preserve"> </w:t>
      </w:r>
      <w:r>
        <w:t xml:space="preserve">chapter is summarized.</w:t>
      </w:r>
    </w:p>
    <w:bookmarkEnd w:id="9"/>
    <w:bookmarkStart w:id="10" w:name="X6ed9290f0a39d3c0300a882e33278e7f18f3a37"/>
    <w:p>
      <w:pPr>
        <w:pStyle w:val="Heading2"/>
      </w:pPr>
      <w:r>
        <w:t xml:space="preserve">4-2. Reference problem and dimensionless quantities</w:t>
      </w:r>
    </w:p>
    <w:p>
      <w:pPr>
        <w:pStyle w:val="FirstParagraph"/>
      </w:pPr>
      <w:r>
        <w:t xml:space="preserve">The problem under study is a thick-walled hollow cylinder with inner radius</w:t>
      </w:r>
      <w:r>
        <w:t xml:space="preserve"> </w:t>
      </w:r>
      <w:r>
        <w:t xml:space="preserve">R_i = 1.0 m and outer radius R_o = 1.5 m (radius ratio R_o/R_i = 1.5, wall</w:t>
      </w:r>
      <w:r>
        <w:t xml:space="preserve"> </w:t>
      </w:r>
      <w:r>
        <w:t xml:space="preserve">thickness h = 0.5 m), length L = 2.1 m, built from N_L = 7 layers. In the</w:t>
      </w:r>
      <w:r>
        <w:t xml:space="preserve"> </w:t>
      </w:r>
      <w:r>
        <w:t xml:space="preserve">reference case the GPL distribution across the thickness is uniform (UD) with</w:t>
      </w:r>
      <w:r>
        <w:t xml:space="preserve"> </w:t>
      </w:r>
      <w:r>
        <w:t xml:space="preserve">total weight fraction W_GPL = 0.3 %, the porosity distribution is uniform (UD)</w:t>
      </w:r>
      <w:r>
        <w:t xml:space="preserve"> </w:t>
      </w:r>
      <w:r>
        <w:t xml:space="preserve">with mass coefficient e_m3 = 0.8604, and the Lord-Shulman theory [4] with</w:t>
      </w:r>
      <w:r>
        <w:t xml:space="preserve"> </w:t>
      </w:r>
      <w:r>
        <w:t xml:space="preserve">dimensionless relaxation time τ* = 0.15 is used in fully coupled form with both</w:t>
      </w:r>
      <w:r>
        <w:t xml:space="preserve"> </w:t>
      </w:r>
      <w:r>
        <w:t xml:space="preserve">ends simply supported (S). The loading is as follows: the inner-surface</w:t>
      </w:r>
      <w:r>
        <w:t xml:space="preserve"> </w:t>
      </w:r>
      <w:r>
        <w:t xml:space="preserve">temperature rises from the initial 300 K to 600 K according to the smooth ramp</w:t>
      </w:r>
      <w:r>
        <w:t xml:space="preserve"> </w:t>
      </w:r>
      <w:r>
        <w:t xml:space="preserve">T_in(t) = 300 + 300(1 − e^(−t/t0)) with time constant t0 = 2 s, while an</w:t>
      </w:r>
      <w:r>
        <w:t xml:space="preserve"> </w:t>
      </w:r>
      <w:r>
        <w:t xml:space="preserve">internal pressure P_i = 50 MPa acts on the inner surface; the outer surface</w:t>
      </w:r>
      <w:r>
        <w:t xml:space="preserve"> </w:t>
      </w:r>
      <w:r>
        <w:t xml:space="preserve">exchanges heat with the 300 K environment through the convection coefficient</w:t>
      </w:r>
      <w:r>
        <w:t xml:space="preserve"> </w:t>
      </w:r>
      <w:r>
        <w:t xml:space="preserve">h_c = 10 W/m²K. The discretization uses N_r = 15 points per layer and N_z = 11</w:t>
      </w:r>
      <w:r>
        <w:t xml:space="preserve"> </w:t>
      </w:r>
      <w:r>
        <w:t xml:space="preserve">axial points (layerwise differential quadrature, Chapter 3) with the time step</w:t>
      </w:r>
      <w:r>
        <w:t xml:space="preserve"> </w:t>
      </w:r>
      <w:r>
        <w:t xml:space="preserve">Δt = 1 s up to 3000 s. The Newmark parameters are δ = 1/2 and β = 1/4 (no</w:t>
      </w:r>
      <w:r>
        <w:t xml:space="preserve"> </w:t>
      </w:r>
      <w:r>
        <w:t xml:space="preserve">numerical damping); accordingly, the small oscillations visible behind sharp</w:t>
      </w:r>
      <w:r>
        <w:t xml:space="preserve"> </w:t>
      </w:r>
      <w:r>
        <w:t xml:space="preserve">wave fronts are the well-known Gibbs effect of the spectral discretization and</w:t>
      </w:r>
      <w:r>
        <w:t xml:space="preserve"> </w:t>
      </w:r>
      <w:r>
        <w:t xml:space="preserve">are left unfiltered so that the results are reported without manipulation.</w:t>
      </w:r>
    </w:p>
    <w:p>
      <w:pPr>
        <w:pStyle w:val="BodyText"/>
      </w:pPr>
      <w:r>
        <w:t xml:space="preserve">For generality all results are presented in dimensionless form, following the</w:t>
      </w:r>
      <w:r>
        <w:t xml:space="preserve"> </w:t>
      </w:r>
      <w:r>
        <w:t xml:space="preserve">convention of reference [69] (Heydarpour et al.). The reference thermal</w:t>
      </w:r>
      <w:r>
        <w:t xml:space="preserve"> </w:t>
      </w:r>
      <w:r>
        <w:t xml:space="preserve">diffusivity of the homogenized reference material is</w:t>
      </w:r>
      <w:r>
        <w:t xml:space="preserve"> </w:t>
      </w:r>
      <w:r>
        <w:t xml:space="preserve">α̂ = k̄/(ρ̄c̄) = 8.97×10⁻⁵ m²/s, and the length scale is the wall thickness</w:t>
      </w:r>
      <w:r>
        <w:t xml:space="preserve"> </w:t>
      </w:r>
      <w:r>
        <w:t xml:space="preserve">h = R_o − R_i, not the outer radius; the definitions are collected in Table 4-1.</w:t>
      </w:r>
      <w:r>
        <w:t xml:space="preserve"> </w:t>
      </w:r>
      <w:r>
        <w:t xml:space="preserve">With this scaling one thermal-diffusion time across the wall, h²/α̂ ≈ 2787 s,</w:t>
      </w:r>
      <w:r>
        <w:t xml:space="preserve"> </w:t>
      </w:r>
      <w:r>
        <w:t xml:space="preserve">corresponds to Fo = 1, and the 3000 s window spans Fo ≈ 1.08. The Lord-Shulman</w:t>
      </w:r>
      <w:r>
        <w:t xml:space="preserve"> </w:t>
      </w:r>
      <w:r>
        <w:t xml:space="preserve">thermal-wave speed of the reference material is v = √(α̂/τ0) = 4.63×10⁻⁴ m/s;</w:t>
      </w:r>
      <w:r>
        <w:t xml:space="preserve"> </w:t>
      </w:r>
      <w:r>
        <w:t xml:space="preserve">crossing the full wall thickness therefore takes about 1080 s, i.e. Fo ≈ 0.39,</w:t>
      </w:r>
      <w:r>
        <w:t xml:space="preserve"> </w:t>
      </w:r>
      <w:r>
        <w:t xml:space="preserve">which equals √τ* as the hyperbolic theory requires — and, as will be seen, this</w:t>
      </w:r>
      <w:r>
        <w:t xml:space="preserve"> </w:t>
      </w:r>
      <w:r>
        <w:t xml:space="preserve">is exactly where the first wave arrival appears in the time histories.</w:t>
      </w:r>
    </w:p>
    <w:p>
      <w:pPr>
        <w:pStyle w:val="BodyText"/>
      </w:pPr>
      <w:r>
        <w:rPr>
          <w:b/>
          <w:bCs/>
        </w:rPr>
        <w:t xml:space="preserve">Table 4-1: Dimensionless quantities used in this chapter.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value/range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Fourier number (dimensionless time)</w:t>
            </w:r>
          </w:p>
        </w:tc>
        <w:tc>
          <w:tcPr/>
          <w:p>
            <w:pPr>
              <w:pStyle w:val="Compact"/>
            </w:pPr>
            <w:r>
              <w:t xml:space="preserve">Fo = α̂ t / h²</w:t>
            </w:r>
          </w:p>
        </w:tc>
        <w:tc>
          <w:tcPr/>
          <w:p>
            <w:pPr>
              <w:pStyle w:val="Compact"/>
            </w:pPr>
            <w:r>
              <w:t xml:space="preserve">Fo(3000 s) = 1.08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dimensionless relaxation time</w:t>
            </w:r>
          </w:p>
        </w:tc>
        <w:tc>
          <w:tcPr/>
          <w:p>
            <w:pPr>
              <w:pStyle w:val="Compact"/>
            </w:pPr>
            <w:r>
              <w:t xml:space="preserve">τ* = α̂ τ0 / h²</w:t>
            </w:r>
          </w:p>
        </w:tc>
        <w:tc>
          <w:tcPr/>
          <w:p>
            <w:pPr>
              <w:pStyle w:val="Compact"/>
            </w:pPr>
            <w:r>
              <w:t xml:space="preserve">0.15 (reference; τ0 = 418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dimensionless temperature</w:t>
            </w:r>
          </w:p>
        </w:tc>
        <w:tc>
          <w:tcPr/>
          <w:p>
            <w:pPr>
              <w:pStyle w:val="Compact"/>
            </w:pPr>
            <w:r>
              <w:t xml:space="preserve">T* = (T − T∞)/T∞</w:t>
            </w:r>
          </w:p>
        </w:tc>
        <w:tc>
          <w:tcPr/>
          <w:p>
            <w:pPr>
              <w:pStyle w:val="Compact"/>
            </w:pPr>
            <w:r>
              <w:t xml:space="preserve">0 … ≈1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dimensionless radial coordinate</w:t>
            </w:r>
          </w:p>
        </w:tc>
        <w:tc>
          <w:tcPr/>
          <w:p>
            <w:pPr>
              <w:pStyle w:val="Compact"/>
            </w:pPr>
            <w:r>
              <w:t xml:space="preserve">ξ = (r − R_i)/h</w:t>
            </w:r>
          </w:p>
        </w:tc>
        <w:tc>
          <w:tcPr/>
          <w:p>
            <w:pPr>
              <w:pStyle w:val="Compact"/>
            </w:pPr>
            <w:r>
              <w:t xml:space="preserve">0 …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dimensionless radial displacement</w:t>
            </w:r>
          </w:p>
        </w:tc>
        <w:tc>
          <w:tcPr/>
          <w:p>
            <w:pPr>
              <w:pStyle w:val="Compact"/>
            </w:pPr>
            <w:r>
              <w:t xml:space="preserve">U* = u /[(1 − ν) α T∞ h]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dimensionless stress</w:t>
            </w:r>
          </w:p>
        </w:tc>
        <w:tc>
          <w:tcPr/>
          <w:p>
            <w:pPr>
              <w:pStyle w:val="Compact"/>
            </w:pPr>
            <w:r>
              <w:t xml:space="preserve">Σ* = (1 + ν) σ /(E α T∞)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</w:tbl>
    <w:p>
      <w:pPr>
        <w:pStyle w:val="BodyText"/>
      </w:pPr>
      <w:r>
        <w:t xml:space="preserve">Here ν, α and E are the reference-material Poisson ratio, thermal-expansion</w:t>
      </w:r>
      <w:r>
        <w:t xml:space="preserve"> </w:t>
      </w:r>
      <w:r>
        <w:t xml:space="preserve">coefficient and Young modulus (ν = 0.340, α = 5.98×10⁻⁵ K⁻¹, E = 4.43 GPa for</w:t>
      </w:r>
      <w:r>
        <w:t xml:space="preserve"> </w:t>
      </w:r>
      <w:r>
        <w:t xml:space="preserve">the reference porous UD composite). Because the inner-surface temperature is</w:t>
      </w:r>
      <w:r>
        <w:t xml:space="preserve"> </w:t>
      </w:r>
      <w:r>
        <w:t xml:space="preserve">raised to twice the ambient value (T_in = 2 T∞), the inner boundary corresponds</w:t>
      </w:r>
      <w:r>
        <w:t xml:space="preserve"> </w:t>
      </w:r>
      <w:r>
        <w:t xml:space="preserve">to T* = 1, so any excursion above unity in the temperature field is a genuine</w:t>
      </w:r>
      <w:r>
        <w:t xml:space="preserve"> </w:t>
      </w:r>
      <w:r>
        <w:t xml:space="preserve">overshoot produced by the reflected thermal wave.</w:t>
      </w:r>
    </w:p>
    <w:bookmarkEnd w:id="10"/>
    <w:bookmarkStart w:id="24" w:name="numerical-convergence"/>
    <w:p>
      <w:pPr>
        <w:pStyle w:val="Heading2"/>
      </w:pPr>
      <w:r>
        <w:t xml:space="preserve">4-3. Numerical convergence</w:t>
      </w:r>
    </w:p>
    <w:p>
      <w:pPr>
        <w:pStyle w:val="FirstParagraph"/>
      </w:pPr>
      <w:r>
        <w:t xml:space="preserve">Before the results are verified, the numerical convergence of the solution is</w:t>
      </w:r>
      <w:r>
        <w:t xml:space="preserve"> </w:t>
      </w:r>
      <w:r>
        <w:t xml:space="preserve">examined independently in each discretization direction — the radial nodes per</w:t>
      </w:r>
      <w:r>
        <w:t xml:space="preserve"> </w:t>
      </w:r>
      <w:r>
        <w:t xml:space="preserve">layer N_r, the axial nodes N_z, the number of layers N_L, and the time step Δt.</w:t>
      </w:r>
      <w:r>
        <w:t xml:space="preserve"> </w:t>
      </w:r>
      <w:r>
        <w:t xml:space="preserve">The convergence measure is the dimensionless hoop stress, reported as both the</w:t>
      </w:r>
      <w:r>
        <w:t xml:space="preserve"> </w:t>
      </w:r>
      <w:r>
        <w:t xml:space="preserve">inner-surface value and the relative L₂ error of the whole mid-plane radial</w:t>
      </w:r>
      <w:r>
        <w:t xml:space="preserve"> </w:t>
      </w:r>
      <w:r>
        <w:t xml:space="preserve">profile against the finest mesh. For each spatial direction the profile overlays</w:t>
      </w:r>
      <w:r>
        <w:t xml:space="preserve"> </w:t>
      </w:r>
      <w:r>
        <w:t xml:space="preserve">are shown as a figure and the error and cost are collected in a table.</w:t>
      </w:r>
    </w:p>
    <w:bookmarkStart w:id="14" w:name="radial-nodes-n_r"/>
    <w:p>
      <w:pPr>
        <w:pStyle w:val="Heading3"/>
      </w:pPr>
      <w:r>
        <w:t xml:space="preserve">4-3-1. Radial nodes (N_r)</w:t>
      </w:r>
    </w:p>
    <w:p>
      <w:pPr>
        <w:pStyle w:val="FirstParagraph"/>
      </w:pPr>
      <w:r>
        <w:rPr>
          <w:b/>
          <w:bCs/>
        </w:rPr>
        <w:t xml:space="preserve">4-1</w:t>
      </w:r>
    </w:p>
    <w:p>
      <w:pPr>
        <w:pStyle w:val="CaptionedFigure"/>
      </w:pPr>
      <w:r>
        <w:drawing>
          <wp:inline>
            <wp:extent cx="5334000" cy="2079671"/>
            <wp:effectExtent b="0" l="0" r="0" t="0"/>
            <wp:docPr descr="Figure 4-1: Radial-node convergence — hoop-stress and temperature profiles for N_r = 7…15 [N_z=11, N_L=7, W_GPL=0.3%, e_m3=0.8604, τ*=0.15, P_i=50 MPa, simply supported]" title="" id="12" name="Picture"/>
            <a:graphic>
              <a:graphicData uri="http://schemas.openxmlformats.org/drawingml/2006/picture">
                <pic:pic>
                  <pic:nvPicPr>
                    <pic:cNvPr descr="figures_ch4_bw/conv_Nr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9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4-1: Radial-node convergence — hoop-stress and temperature profiles for N_r = 7…15 [N_z=11, N_L=7, W_GPL=0.3%, e_m3=0.8604, τ*=0.15, P_i=50 MPa, simply supported]</w:t>
      </w:r>
    </w:p>
    <w:p>
      <w:pPr>
        <w:pStyle w:val="BodyText"/>
      </w:pPr>
      <w:r>
        <w:t xml:space="preserve">Figure 4-1 shows the hoop-stress and temperature profiles for N_r = 7 … 15</w:t>
      </w:r>
      <w:r>
        <w:t xml:space="preserve"> </w:t>
      </w:r>
      <w:r>
        <w:t xml:space="preserve">(with N_z = 11, N_L = 7); the curves are visually indistinguishable. As Table 4-2</w:t>
      </w:r>
      <w:r>
        <w:t xml:space="preserve"> </w:t>
      </w:r>
      <w:r>
        <w:t xml:space="preserve">shows, the inner-surface hoop stress stays within 0.09 % and the L₂ profile error</w:t>
      </w:r>
      <w:r>
        <w:t xml:space="preserve"> </w:t>
      </w:r>
      <w:r>
        <w:t xml:space="preserve">below 0.29 % over the whole range, so the field quantities are converged from as</w:t>
      </w:r>
      <w:r>
        <w:t xml:space="preserve"> </w:t>
      </w:r>
      <w:r>
        <w:t xml:space="preserve">few as seven radial points — the hallmark of the spectral (Chebyshev) differential</w:t>
      </w:r>
      <w:r>
        <w:t xml:space="preserve"> </w:t>
      </w:r>
      <w:r>
        <w:t xml:space="preserve">quadrature discretization. N_r = 15 is nevertheless adopted for the production</w:t>
      </w:r>
      <w:r>
        <w:t xml:space="preserve"> </w:t>
      </w:r>
      <w:r>
        <w:t xml:space="preserve">runs because it renders the sharp, moving second-sound front in the temperature</w:t>
      </w:r>
      <w:r>
        <w:t xml:space="preserve"> </w:t>
      </w:r>
      <w:r>
        <w:t xml:space="preserve">profiles cleanly, without the localized oscillation a coarser mesh leaves when the</w:t>
      </w:r>
      <w:r>
        <w:t xml:space="preserve"> </w:t>
      </w:r>
      <w:r>
        <w:t xml:space="preserve">front sits between two nodes; this does not change any integral quantity.</w:t>
      </w:r>
    </w:p>
    <w:p>
      <w:pPr>
        <w:pStyle w:val="BodyText"/>
      </w:pPr>
      <w:r>
        <w:rPr>
          <w:b/>
          <w:bCs/>
        </w:rPr>
        <w:t xml:space="preserve">Table 4-2: Radial-node convergence (N_z = 11, N_L = 7).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N_r</w:t>
            </w:r>
          </w:p>
        </w:tc>
        <w:tc>
          <w:tcPr/>
          <w:p>
            <w:pPr>
              <w:pStyle w:val="Compact"/>
            </w:pPr>
            <w:r>
              <w:t xml:space="preserve">Σθθ (inner)</w:t>
            </w:r>
          </w:p>
        </w:tc>
        <w:tc>
          <w:tcPr/>
          <w:p>
            <w:pPr>
              <w:pStyle w:val="Compact"/>
            </w:pPr>
            <w:r>
              <w:t xml:space="preserve">L₂ error (%)</w:t>
            </w:r>
          </w:p>
        </w:tc>
        <w:tc>
          <w:tcPr/>
          <w:p>
            <w:pPr>
              <w:pStyle w:val="Compact"/>
            </w:pPr>
            <w:r>
              <w:t xml:space="preserve">N_dof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1.5251</w:t>
            </w:r>
          </w:p>
        </w:tc>
        <w:tc>
          <w:tcPr/>
          <w:p>
            <w:pPr>
              <w:pStyle w:val="Compact"/>
            </w:pPr>
            <w:r>
              <w:t xml:space="preserve">0.28</w:t>
            </w:r>
          </w:p>
        </w:tc>
        <w:tc>
          <w:tcPr/>
          <w:p>
            <w:pPr>
              <w:pStyle w:val="Compact"/>
            </w:pPr>
            <w:r>
              <w:t xml:space="preserve">1617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1.5256</w:t>
            </w:r>
          </w:p>
        </w:tc>
        <w:tc>
          <w:tcPr/>
          <w:p>
            <w:pPr>
              <w:pStyle w:val="Compact"/>
            </w:pPr>
            <w:r>
              <w:t xml:space="preserve">0.23</w:t>
            </w:r>
          </w:p>
        </w:tc>
        <w:tc>
          <w:tcPr/>
          <w:p>
            <w:pPr>
              <w:pStyle w:val="Compact"/>
            </w:pPr>
            <w:r>
              <w:t xml:space="preserve">2079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1.5256</w:t>
            </w:r>
          </w:p>
        </w:tc>
        <w:tc>
          <w:tcPr/>
          <w:p>
            <w:pPr>
              <w:pStyle w:val="Compact"/>
            </w:pPr>
            <w:r>
              <w:t xml:space="preserve">0.24</w:t>
            </w:r>
          </w:p>
        </w:tc>
        <w:tc>
          <w:tcPr/>
          <w:p>
            <w:pPr>
              <w:pStyle w:val="Compact"/>
            </w:pPr>
            <w:r>
              <w:t xml:space="preserve">2541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1.5264</w:t>
            </w:r>
          </w:p>
        </w:tc>
        <w:tc>
          <w:tcPr/>
          <w:p>
            <w:pPr>
              <w:pStyle w:val="Compact"/>
            </w:pPr>
            <w:r>
              <w:t xml:space="preserve">0.16</w:t>
            </w:r>
          </w:p>
        </w:tc>
        <w:tc>
          <w:tcPr/>
          <w:p>
            <w:pPr>
              <w:pStyle w:val="Compact"/>
            </w:pPr>
            <w:r>
              <w:t xml:space="preserve">3003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1.5264</w:t>
            </w:r>
          </w:p>
        </w:tc>
        <w:tc>
          <w:tcPr/>
          <w:p>
            <w:pPr>
              <w:pStyle w:val="Compact"/>
            </w:pPr>
            <w:r>
              <w:t xml:space="preserve">ref</w:t>
            </w:r>
          </w:p>
        </w:tc>
        <w:tc>
          <w:tcPr/>
          <w:p>
            <w:pPr>
              <w:pStyle w:val="Compact"/>
            </w:pPr>
            <w:r>
              <w:t xml:space="preserve">3465</w:t>
            </w:r>
          </w:p>
        </w:tc>
      </w:tr>
    </w:tbl>
    <w:bookmarkEnd w:id="14"/>
    <w:bookmarkStart w:id="18" w:name="axial-nodes-n_z"/>
    <w:p>
      <w:pPr>
        <w:pStyle w:val="Heading3"/>
      </w:pPr>
      <w:r>
        <w:t xml:space="preserve">4-3-2. Axial nodes (N_z)</w:t>
      </w:r>
    </w:p>
    <w:p>
      <w:pPr>
        <w:pStyle w:val="FirstParagraph"/>
      </w:pPr>
      <w:r>
        <w:rPr>
          <w:b/>
          <w:bCs/>
        </w:rPr>
        <w:t xml:space="preserve">4-2</w:t>
      </w:r>
    </w:p>
    <w:p>
      <w:pPr>
        <w:pStyle w:val="CaptionedFigure"/>
      </w:pPr>
      <w:r>
        <w:drawing>
          <wp:inline>
            <wp:extent cx="5334000" cy="2079671"/>
            <wp:effectExtent b="0" l="0" r="0" t="0"/>
            <wp:docPr descr="Figure 4-2: Axial-node convergence — profiles for N_z = 5…15 [N_r=15, N_L=7, W_GPL=0.3%, e_m3=0.8604, τ*=0.15, P_i=50 MPa, simply supported]" title="" id="16" name="Picture"/>
            <a:graphic>
              <a:graphicData uri="http://schemas.openxmlformats.org/drawingml/2006/picture">
                <pic:pic>
                  <pic:nvPicPr>
                    <pic:cNvPr descr="figures_ch4_bw/conv_Nz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9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4-2: Axial-node convergence — profiles for N_z = 5…15 [N_r=15, N_L=7, W_GPL=0.3%, e_m3=0.8604, τ*=0.15, P_i=50 MPa, simply supported]</w:t>
      </w:r>
    </w:p>
    <w:p>
      <w:pPr>
        <w:pStyle w:val="BodyText"/>
      </w:pPr>
      <w:r>
        <w:t xml:space="preserve">The axial direction (Figure 4-2) governs the mesh. With only five axial points the</w:t>
      </w:r>
      <w:r>
        <w:t xml:space="preserve"> </w:t>
      </w:r>
      <w:r>
        <w:t xml:space="preserve">inner-surface hoop stress is in error by 9.4 %, because the simply-supported end</w:t>
      </w:r>
      <w:r>
        <w:t xml:space="preserve"> </w:t>
      </w:r>
      <w:r>
        <w:t xml:space="preserve">layer is left unresolved; the error then settles below about 1 % from nine points</w:t>
      </w:r>
      <w:r>
        <w:t xml:space="preserve"> </w:t>
      </w:r>
      <w:r>
        <w:t xml:space="preserve">onward (Table 4-3). The convergence is non-monotonic — the oscillatory envelope</w:t>
      </w:r>
      <w:r>
        <w:t xml:space="preserve"> </w:t>
      </w:r>
      <w:r>
        <w:t xml:space="preserve">typical of spectral methods — but is clearly settled by nine points, and eleven</w:t>
      </w:r>
      <w:r>
        <w:t xml:space="preserve"> </w:t>
      </w:r>
      <w:r>
        <w:t xml:space="preserve">points give an L₂ error of 0.16 %. Eleven axial points are adopted. This direction</w:t>
      </w:r>
      <w:r>
        <w:t xml:space="preserve"> </w:t>
      </w:r>
      <w:r>
        <w:t xml:space="preserve">is also the most expensive: the single-core solve time grows roughly as N_z^2.6</w:t>
      </w:r>
      <w:r>
        <w:t xml:space="preserve"> </w:t>
      </w:r>
      <w:r>
        <w:t xml:space="preserve">(Table 4-3), because each added axial point multiplies the entire through-thickness</w:t>
      </w:r>
      <w:r>
        <w:t xml:space="preserve"> </w:t>
      </w:r>
      <w:r>
        <w:t xml:space="preserve">system. The axial direction is therefore the binding one — both the least accurate</w:t>
      </w:r>
      <w:r>
        <w:t xml:space="preserve"> </w:t>
      </w:r>
      <w:r>
        <w:t xml:space="preserve">per node and the steepest in cost.</w:t>
      </w:r>
    </w:p>
    <w:p>
      <w:pPr>
        <w:pStyle w:val="BodyText"/>
      </w:pPr>
      <w:r>
        <w:rPr>
          <w:b/>
          <w:bCs/>
        </w:rPr>
        <w:t xml:space="preserve">Table 4-3: Axial-node convergence and cost (N_r = 15, N_L = 7).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N_z</w:t>
            </w:r>
          </w:p>
        </w:tc>
        <w:tc>
          <w:tcPr/>
          <w:p>
            <w:pPr>
              <w:pStyle w:val="Compact"/>
            </w:pPr>
            <w:r>
              <w:t xml:space="preserve">Σθθ (inner)</w:t>
            </w:r>
          </w:p>
        </w:tc>
        <w:tc>
          <w:tcPr/>
          <w:p>
            <w:pPr>
              <w:pStyle w:val="Compact"/>
            </w:pPr>
            <w:r>
              <w:t xml:space="preserve">L₂ error (%)</w:t>
            </w:r>
          </w:p>
        </w:tc>
        <w:tc>
          <w:tcPr/>
          <w:p>
            <w:pPr>
              <w:pStyle w:val="Compact"/>
            </w:pPr>
            <w:r>
              <w:t xml:space="preserve">solve time 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1.3844</w:t>
            </w:r>
          </w:p>
        </w:tc>
        <w:tc>
          <w:tcPr/>
          <w:p>
            <w:pPr>
              <w:pStyle w:val="Compact"/>
            </w:pPr>
            <w:r>
              <w:t xml:space="preserve">3.92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1.5333</w:t>
            </w:r>
          </w:p>
        </w:tc>
        <w:tc>
          <w:tcPr/>
          <w:p>
            <w:pPr>
              <w:pStyle w:val="Compact"/>
            </w:pPr>
            <w:r>
              <w:t xml:space="preserve">1.07</w:t>
            </w:r>
          </w:p>
        </w:tc>
        <w:tc>
          <w:tcPr/>
          <w:p>
            <w:pPr>
              <w:pStyle w:val="Compact"/>
            </w:pPr>
            <w:r>
              <w:t xml:space="preserve">198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1.5434</w:t>
            </w:r>
          </w:p>
        </w:tc>
        <w:tc>
          <w:tcPr/>
          <w:p>
            <w:pPr>
              <w:pStyle w:val="Compact"/>
            </w:pPr>
            <w:r>
              <w:t xml:space="preserve">0.23</w:t>
            </w:r>
          </w:p>
        </w:tc>
        <w:tc>
          <w:tcPr/>
          <w:p>
            <w:pPr>
              <w:pStyle w:val="Compact"/>
            </w:pPr>
            <w:r>
              <w:t xml:space="preserve">349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1.5264</w:t>
            </w:r>
          </w:p>
        </w:tc>
        <w:tc>
          <w:tcPr/>
          <w:p>
            <w:pPr>
              <w:pStyle w:val="Compact"/>
            </w:pPr>
            <w:r>
              <w:t xml:space="preserve">0.16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1.5274</w:t>
            </w:r>
          </w:p>
        </w:tc>
        <w:tc>
          <w:tcPr/>
          <w:p>
            <w:pPr>
              <w:pStyle w:val="Compact"/>
            </w:pPr>
            <w:r>
              <w:t xml:space="preserve">0.27</w:t>
            </w:r>
          </w:p>
        </w:tc>
        <w:tc>
          <w:tcPr/>
          <w:p>
            <w:pPr>
              <w:pStyle w:val="Compact"/>
            </w:pPr>
            <w:r>
              <w:t xml:space="preserve">987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1.5278</w:t>
            </w:r>
          </w:p>
        </w:tc>
        <w:tc>
          <w:tcPr/>
          <w:p>
            <w:pPr>
              <w:pStyle w:val="Compact"/>
            </w:pPr>
            <w:r>
              <w:t xml:space="preserve">ref</w:t>
            </w:r>
          </w:p>
        </w:tc>
        <w:tc>
          <w:tcPr/>
          <w:p>
            <w:pPr>
              <w:pStyle w:val="Compact"/>
            </w:pPr>
            <w:r>
              <w:t xml:space="preserve">1630</w:t>
            </w:r>
          </w:p>
        </w:tc>
      </w:tr>
    </w:tbl>
    <w:bookmarkEnd w:id="18"/>
    <w:bookmarkStart w:id="22" w:name="number-of-layers-n_l"/>
    <w:p>
      <w:pPr>
        <w:pStyle w:val="Heading3"/>
      </w:pPr>
      <w:r>
        <w:t xml:space="preserve">4-3-3. Number of layers (N_L)</w:t>
      </w:r>
    </w:p>
    <w:p>
      <w:pPr>
        <w:pStyle w:val="FirstParagraph"/>
      </w:pPr>
      <w:r>
        <w:rPr>
          <w:b/>
          <w:bCs/>
        </w:rPr>
        <w:t xml:space="preserve">4-3</w:t>
      </w:r>
    </w:p>
    <w:p>
      <w:pPr>
        <w:pStyle w:val="CaptionedFigure"/>
      </w:pPr>
      <w:r>
        <w:drawing>
          <wp:inline>
            <wp:extent cx="5334000" cy="2079671"/>
            <wp:effectExtent b="0" l="0" r="0" t="0"/>
            <wp:docPr descr="Figure 4-3: Layer convergence — profiles for N_L = 3…15 [N_r=15, N_z=11, W_GPL=0.3%, e_m3=0.8604, τ*=0.15, P_i=50 MPa, simply supported]" title="" id="20" name="Picture"/>
            <a:graphic>
              <a:graphicData uri="http://schemas.openxmlformats.org/drawingml/2006/picture">
                <pic:pic>
                  <pic:nvPicPr>
                    <pic:cNvPr descr="figures_ch4_bw/conv_NL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9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4-3: Layer convergence — profiles for N_L = 3…15 [N_r=15, N_z=11, W_GPL=0.3%, e_m3=0.8604, τ*=0.15, P_i=50 MPa, simply supported]</w:t>
      </w:r>
    </w:p>
    <w:p>
      <w:pPr>
        <w:pStyle w:val="BodyText"/>
      </w:pPr>
      <w:r>
        <w:t xml:space="preserve">Figure 4-3 shows the profiles for N_L = 3 … 15 (N_r = 15, N_z = 11). The</w:t>
      </w:r>
      <w:r>
        <w:t xml:space="preserve"> </w:t>
      </w:r>
      <w:r>
        <w:t xml:space="preserve">inner-surface hoop stress varies by less than 0.05 % and the L₂ error stays below</w:t>
      </w:r>
      <w:r>
        <w:t xml:space="preserve"> </w:t>
      </w:r>
      <w:r>
        <w:t xml:space="preserve">0.26 % (Table 4-4); the field quantities are essentially layer-independent from</w:t>
      </w:r>
      <w:r>
        <w:t xml:space="preserve"> </w:t>
      </w:r>
      <w:r>
        <w:t xml:space="preserve">three layers. The only effect of more layers is a finer staircase in the</w:t>
      </w:r>
      <w:r>
        <w:t xml:space="preserve"> </w:t>
      </w:r>
      <w:r>
        <w:t xml:space="preserve">hoop-stress profile at the interfaces — the natural signature of the layerwise</w:t>
      </w:r>
      <w:r>
        <w:t xml:space="preserve"> </w:t>
      </w:r>
      <w:r>
        <w:t xml:space="preserve">property model. Seven layers are adopted, matching the seven-layer graded build of</w:t>
      </w:r>
      <w:r>
        <w:t xml:space="preserve"> </w:t>
      </w:r>
      <w:r>
        <w:t xml:space="preserve">the reference cylinder.</w:t>
      </w:r>
    </w:p>
    <w:p>
      <w:pPr>
        <w:pStyle w:val="BodyText"/>
      </w:pPr>
      <w:r>
        <w:rPr>
          <w:b/>
          <w:bCs/>
        </w:rPr>
        <w:t xml:space="preserve">Table 4-4: Layer convergence (N_r = 15, N_z = 11).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N_L</w:t>
            </w:r>
          </w:p>
        </w:tc>
        <w:tc>
          <w:tcPr/>
          <w:p>
            <w:pPr>
              <w:pStyle w:val="Compact"/>
            </w:pPr>
            <w:r>
              <w:t xml:space="preserve">Σθθ (inner)</w:t>
            </w:r>
          </w:p>
        </w:tc>
        <w:tc>
          <w:tcPr/>
          <w:p>
            <w:pPr>
              <w:pStyle w:val="Compact"/>
            </w:pPr>
            <w:r>
              <w:t xml:space="preserve">L₂ error (%)</w:t>
            </w:r>
          </w:p>
        </w:tc>
        <w:tc>
          <w:tcPr/>
          <w:p>
            <w:pPr>
              <w:pStyle w:val="Compact"/>
            </w:pPr>
            <w:r>
              <w:t xml:space="preserve">N_dof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1.5261</w:t>
            </w:r>
          </w:p>
        </w:tc>
        <w:tc>
          <w:tcPr/>
          <w:p>
            <w:pPr>
              <w:pStyle w:val="Compact"/>
            </w:pPr>
            <w:r>
              <w:t xml:space="preserve">0.26</w:t>
            </w:r>
          </w:p>
        </w:tc>
        <w:tc>
          <w:tcPr/>
          <w:p>
            <w:pPr>
              <w:pStyle w:val="Compact"/>
            </w:pPr>
            <w:r>
              <w:t xml:space="preserve">1485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1.5257</w:t>
            </w:r>
          </w:p>
        </w:tc>
        <w:tc>
          <w:tcPr/>
          <w:p>
            <w:pPr>
              <w:pStyle w:val="Compact"/>
            </w:pPr>
            <w:r>
              <w:t xml:space="preserve">0.21</w:t>
            </w:r>
          </w:p>
        </w:tc>
        <w:tc>
          <w:tcPr/>
          <w:p>
            <w:pPr>
              <w:pStyle w:val="Compact"/>
            </w:pPr>
            <w:r>
              <w:t xml:space="preserve">2475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1.5264</w:t>
            </w:r>
          </w:p>
        </w:tc>
        <w:tc>
          <w:tcPr/>
          <w:p>
            <w:pPr>
              <w:pStyle w:val="Compact"/>
            </w:pPr>
            <w:r>
              <w:t xml:space="preserve">0.16</w:t>
            </w:r>
          </w:p>
        </w:tc>
        <w:tc>
          <w:tcPr/>
          <w:p>
            <w:pPr>
              <w:pStyle w:val="Compact"/>
            </w:pPr>
            <w:r>
              <w:t xml:space="preserve">3465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1.5264</w:t>
            </w:r>
          </w:p>
        </w:tc>
        <w:tc>
          <w:tcPr/>
          <w:p>
            <w:pPr>
              <w:pStyle w:val="Compact"/>
            </w:pPr>
            <w:r>
              <w:t xml:space="preserve">0.14</w:t>
            </w:r>
          </w:p>
        </w:tc>
        <w:tc>
          <w:tcPr/>
          <w:p>
            <w:pPr>
              <w:pStyle w:val="Compact"/>
            </w:pPr>
            <w:r>
              <w:t xml:space="preserve">4455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1.5265</w:t>
            </w:r>
          </w:p>
        </w:tc>
        <w:tc>
          <w:tcPr/>
          <w:p>
            <w:pPr>
              <w:pStyle w:val="Compact"/>
            </w:pPr>
            <w:r>
              <w:t xml:space="preserve">ref</w:t>
            </w:r>
          </w:p>
        </w:tc>
        <w:tc>
          <w:tcPr/>
          <w:p>
            <w:pPr>
              <w:pStyle w:val="Compact"/>
            </w:pPr>
            <w:r>
              <w:t xml:space="preserve">7425</w:t>
            </w:r>
          </w:p>
        </w:tc>
      </w:tr>
    </w:tbl>
    <w:bookmarkEnd w:id="22"/>
    <w:bookmarkStart w:id="23" w:name="time-step-δt"/>
    <w:p>
      <w:pPr>
        <w:pStyle w:val="Heading3"/>
      </w:pPr>
      <w:r>
        <w:t xml:space="preserve">4-3-4. Time step (Δt)</w:t>
      </w:r>
    </w:p>
    <w:p>
      <w:pPr>
        <w:pStyle w:val="FirstParagraph"/>
      </w:pPr>
      <w:r>
        <w:t xml:space="preserve">The time step is converged for Δt ≤ 2 s; at Δt = 5 s a spurious 3 % overshoot</w:t>
      </w:r>
      <w:r>
        <w:t xml:space="preserve"> </w:t>
      </w:r>
      <w:r>
        <w:t xml:space="preserve">appears in the peak temperature as the Newmark integrator under-resolves the sharp</w:t>
      </w:r>
      <w:r>
        <w:t xml:space="preserve"> </w:t>
      </w:r>
      <w:r>
        <w:t xml:space="preserve">thermal front (Table 4-5). Δt = 1 s is adopted, which resolves the shock with a</w:t>
      </w:r>
      <w:r>
        <w:t xml:space="preserve"> </w:t>
      </w:r>
      <w:r>
        <w:t xml:space="preserve">comfortable margin.</w:t>
      </w:r>
    </w:p>
    <w:p>
      <w:pPr>
        <w:pStyle w:val="BodyText"/>
      </w:pPr>
      <w:r>
        <w:rPr>
          <w:b/>
          <w:bCs/>
        </w:rPr>
        <w:t xml:space="preserve">Table 4-5: Time-step convergence (N_r = 15, N_z = 11, N_L = 7).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Δt (s)</w:t>
            </w:r>
          </w:p>
        </w:tc>
        <w:tc>
          <w:tcPr/>
          <w:p>
            <w:pPr>
              <w:pStyle w:val="Compact"/>
            </w:pPr>
            <w:r>
              <w:t xml:space="preserve">time steps</w:t>
            </w:r>
          </w:p>
        </w:tc>
        <w:tc>
          <w:tcPr/>
          <w:p>
            <w:pPr>
              <w:pStyle w:val="Compact"/>
            </w:pPr>
            <w:r>
              <w:t xml:space="preserve">L₂ error (%)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6000</w:t>
            </w:r>
          </w:p>
        </w:tc>
        <w:tc>
          <w:tcPr/>
          <w:p>
            <w:pPr>
              <w:pStyle w:val="Compact"/>
            </w:pPr>
            <w:r>
              <w:t xml:space="preserve">ref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3000</w:t>
            </w:r>
          </w:p>
        </w:tc>
        <w:tc>
          <w:tcPr/>
          <w:p>
            <w:pPr>
              <w:pStyle w:val="Compact"/>
            </w:pPr>
            <w:r>
              <w:t xml:space="preserve">0.17</w:t>
            </w:r>
          </w:p>
        </w:tc>
        <w:tc>
          <w:tcPr/>
          <w:p>
            <w:pPr>
              <w:pStyle w:val="Compact"/>
            </w:pPr>
            <w:r>
              <w:t xml:space="preserve">adopted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1500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0.64</w:t>
            </w:r>
          </w:p>
        </w:tc>
        <w:tc>
          <w:tcPr/>
          <w:p>
            <w:pPr>
              <w:pStyle w:val="Compact"/>
            </w:pPr>
            <w:r>
              <w:t xml:space="preserve">3 % peak overshoot</w:t>
            </w:r>
          </w:p>
        </w:tc>
      </w:tr>
    </w:tbl>
    <w:p>
      <w:pPr>
        <w:pStyle w:val="BodyText"/>
      </w:pPr>
      <w:r>
        <w:t xml:space="preserve">Overall, the adopted production mesh (N_r = 15, N_z = 11, N_L = 7, Δt = 1 s)</w:t>
      </w:r>
      <w:r>
        <w:t xml:space="preserve"> </w:t>
      </w:r>
      <w:r>
        <w:t xml:space="preserve">delivers the field quantities to better than 0.2 %: the radial and layer directions</w:t>
      </w:r>
      <w:r>
        <w:t xml:space="preserve"> </w:t>
      </w:r>
      <w:r>
        <w:t xml:space="preserve">are effectively free, while the axial direction is the binding and most expensive</w:t>
      </w:r>
      <w:r>
        <w:t xml:space="preserve"> </w:t>
      </w:r>
      <w:r>
        <w:t xml:space="preserve">one. The superiority of the differential-quadrature discretization over the finite</w:t>
      </w:r>
      <w:r>
        <w:t xml:space="preserve"> </w:t>
      </w:r>
      <w:r>
        <w:t xml:space="preserve">difference and finite element methods, in points required per direction, is taken</w:t>
      </w:r>
      <w:r>
        <w:t xml:space="preserve"> </w:t>
      </w:r>
      <w:r>
        <w:t xml:space="preserve">up separately in Section 4-19.</w:t>
      </w:r>
    </w:p>
    <w:bookmarkEnd w:id="23"/>
    <w:bookmarkEnd w:id="24"/>
    <w:bookmarkStart w:id="31" w:name="verification"/>
    <w:p>
      <w:pPr>
        <w:pStyle w:val="Heading2"/>
      </w:pPr>
      <w:r>
        <w:t xml:space="preserve">4-4. Verification</w:t>
      </w:r>
    </w:p>
    <w:p>
      <w:pPr>
        <w:pStyle w:val="FirstParagraph"/>
      </w:pPr>
      <w:r>
        <w:t xml:space="preserve">The present numerical solution is verified through five independent checks</w:t>
      </w:r>
      <w:r>
        <w:t xml:space="preserve"> </w:t>
      </w:r>
      <w:r>
        <w:t xml:space="preserve">against exact analytical solutions, published results from the literature, and a</w:t>
      </w:r>
      <w:r>
        <w:t xml:space="preserve"> </w:t>
      </w:r>
      <w:r>
        <w:t xml:space="preserve">commercial finite-element solution. In each check, besides the quantitative</w:t>
      </w:r>
      <w:r>
        <w:t xml:space="preserve"> </w:t>
      </w:r>
      <w:r>
        <w:t xml:space="preserve">error, the present result is plotted as a comparison diagram against the</w:t>
      </w:r>
      <w:r>
        <w:t xml:space="preserve"> </w:t>
      </w:r>
      <w:r>
        <w:t xml:space="preserve">corresponding reference so that the coincidence of the curves is shown visually;</w:t>
      </w:r>
      <w:r>
        <w:t xml:space="preserve"> </w:t>
      </w:r>
      <w:r>
        <w:t xml:space="preserve">these diagrams are collected in the verification appendix. First, the assembly</w:t>
      </w:r>
      <w:r>
        <w:t xml:space="preserve"> </w:t>
      </w:r>
      <w:r>
        <w:t xml:space="preserve">of the static matrices is checked against an independent static solver, with a</w:t>
      </w:r>
      <w:r>
        <w:t xml:space="preserve"> </w:t>
      </w:r>
      <w:r>
        <w:t xml:space="preserve">maximum displacement-field difference of order 2×10⁻¹¹, confirming the numerical</w:t>
      </w:r>
      <w:r>
        <w:t xml:space="preserve"> </w:t>
      </w:r>
      <w:r>
        <w:t xml:space="preserve">equivalence of the two implementations and the correctness of the system</w:t>
      </w:r>
      <w:r>
        <w:t xml:space="preserve"> </w:t>
      </w:r>
      <w:r>
        <w:t xml:space="preserve">assembly.</w:t>
      </w:r>
    </w:p>
    <w:p>
      <w:pPr>
        <w:pStyle w:val="BodyText"/>
      </w:pPr>
      <w:r>
        <w:t xml:space="preserve">In the second check, the dynamic-mechanical part of the problem is compared with</w:t>
      </w:r>
      <w:r>
        <w:t xml:space="preserve"> </w:t>
      </w:r>
      <w:r>
        <w:t xml:space="preserve">the results of Malekzadeh (Table 6 of reference [31], IJPVP 2012) and with an</w:t>
      </w:r>
      <w:r>
        <w:t xml:space="preserve"> </w:t>
      </w:r>
      <w:r>
        <w:t xml:space="preserve">independent ANSYS finite-element solution; the dimensionless radial displacement</w:t>
      </w:r>
      <w:r>
        <w:t xml:space="preserve"> </w:t>
      </w:r>
      <w:r>
        <w:t xml:space="preserve">is reproduced with a relative difference of 0.1 to 0.2 percent, and the</w:t>
      </w:r>
      <w:r>
        <w:t xml:space="preserve"> </w:t>
      </w:r>
      <w:r>
        <w:t xml:space="preserve">dimensionless inner-surface radial stress is obtained exactly as the negative of</w:t>
      </w:r>
      <w:r>
        <w:t xml:space="preserve"> </w:t>
      </w:r>
      <w:r>
        <w:t xml:space="preserve">the applied pressure, in full agreement with the loading boundary condition.</w:t>
      </w:r>
    </w:p>
    <w:p>
      <w:pPr>
        <w:pStyle w:val="BodyText"/>
      </w:pPr>
      <w:r>
        <w:t xml:space="preserve">In the third check, the transient heat-conduction problem is compared with the</w:t>
      </w:r>
      <w:r>
        <w:t xml:space="preserve"> </w:t>
      </w:r>
      <w:r>
        <w:t xml:space="preserve">exact Bessel-series solution; the dimensionless temperature distribution at</w:t>
      </w:r>
      <w:r>
        <w:t xml:space="preserve"> </w:t>
      </w:r>
      <w:r>
        <w:t xml:space="preserve">various times lies on the exact curve, with a relative error of 10⁻⁵ to 10⁻⁷. In</w:t>
      </w:r>
      <w:r>
        <w:t xml:space="preserve"> </w:t>
      </w:r>
      <w:r>
        <w:t xml:space="preserve">the fourth check, the Newmark time integration is validated against MATLAB’s</w:t>
      </w:r>
      <w:r>
        <w:t xml:space="preserve"> </w:t>
      </w:r>
      <w:r>
        <w:t xml:space="preserve">reference solver ode15s, and the maximum temperature difference over the whole</w:t>
      </w:r>
      <w:r>
        <w:t xml:space="preserve"> </w:t>
      </w:r>
      <w:r>
        <w:t xml:space="preserve">interval is 0.003 K, confirming the stability and accuracy of the adopted</w:t>
      </w:r>
      <w:r>
        <w:t xml:space="preserve"> </w:t>
      </w:r>
      <w:r>
        <w:t xml:space="preserve">time-integration scheme. Finally, in the fifth check, the wave-propagation</w:t>
      </w:r>
      <w:r>
        <w:t xml:space="preserve"> </w:t>
      </w:r>
      <w:r>
        <w:t xml:space="preserve">behavior of the coupled Lord-Shulman theory is compared qualitatively with the results of</w:t>
      </w:r>
      <w:r>
        <w:t xml:space="preserve"> </w:t>
      </w:r>
      <w:r>
        <w:t xml:space="preserve">Bagri and Eslami (2007, reference [7]); both wave speeds (elastic and thermal)</w:t>
      </w:r>
      <w:r>
        <w:t xml:space="preserve"> </w:t>
      </w:r>
      <w:r>
        <w:t xml:space="preserve">and the reflection times within the cylinder wall are correctly reproduced. Taken together,</w:t>
      </w:r>
      <w:r>
        <w:t xml:space="preserve"> </w:t>
      </w:r>
      <w:r>
        <w:t xml:space="preserve">these five checks confirm the validity of the present solution in both the</w:t>
      </w:r>
      <w:r>
        <w:t xml:space="preserve"> </w:t>
      </w:r>
      <w:r>
        <w:t xml:space="preserve">static and the transient regimes and in the coupled and uncoupled cases. A</w:t>
      </w:r>
      <w:r>
        <w:t xml:space="preserve"> </w:t>
      </w:r>
      <w:r>
        <w:t xml:space="preserve">summary is given in Table 4-6.</w:t>
      </w:r>
    </w:p>
    <w:p>
      <w:pPr>
        <w:pStyle w:val="BodyText"/>
      </w:pPr>
      <w:r>
        <w:t xml:space="preserve">The two checks that compare against published or exact references are shown</w:t>
      </w:r>
      <w:r>
        <w:t xml:space="preserve"> </w:t>
      </w:r>
      <w:r>
        <w:t xml:space="preserve">below — the mechanical response against Malekzadeh &amp; Heydarpour and ANSYS, the</w:t>
      </w:r>
      <w:r>
        <w:t xml:space="preserve"> </w:t>
      </w:r>
      <w:r>
        <w:t xml:space="preserve">transient conduction against the exact Bessel-series solution — with the present curves</w:t>
      </w:r>
      <w:r>
        <w:t xml:space="preserve"> </w:t>
      </w:r>
      <w:r>
        <w:t xml:space="preserve">coinciding with the references in both cases.</w:t>
      </w:r>
    </w:p>
    <w:p>
      <w:pPr>
        <w:pStyle w:val="BodyText"/>
      </w:pPr>
      <w:r>
        <w:rPr>
          <w:b/>
          <w:bCs/>
        </w:rPr>
        <w:t xml:space="preserve">4-4</w:t>
      </w:r>
    </w:p>
    <w:p>
      <w:pPr>
        <w:pStyle w:val="CaptionedFigure"/>
      </w:pPr>
      <w:r>
        <w:drawing>
          <wp:inline>
            <wp:extent cx="5334000" cy="3810348"/>
            <wp:effectExtent b="0" l="0" r="0" t="0"/>
            <wp:docPr descr="Figure 4-4: Verification (mechanical) — inner-surface dimensionless radial displacement of the present solver against Malekzadeh &amp; Heydarpour (2012) and an independent ANSYS solution [thick cylinder under internal pressure step]" title="" id="26" name="Picture"/>
            <a:graphic>
              <a:graphicData uri="http://schemas.openxmlformats.org/drawingml/2006/picture">
                <pic:pic>
                  <pic:nvPicPr>
                    <pic:cNvPr descr="figures_ch4_bw/bench1_U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4-4: Verification (mechanical) — inner-surface dimensionless radial displacement of the present solver against Malekzadeh &amp; Heydarpour (2012) and an independent ANSYS solution [thick cylinder under internal pressure step]</w:t>
      </w:r>
    </w:p>
    <w:p>
      <w:pPr>
        <w:pStyle w:val="BodyText"/>
      </w:pPr>
      <w:r>
        <w:rPr>
          <w:b/>
          <w:bCs/>
        </w:rPr>
        <w:t xml:space="preserve">4-5</w:t>
      </w:r>
    </w:p>
    <w:p>
      <w:pPr>
        <w:pStyle w:val="CaptionedFigure"/>
      </w:pPr>
      <w:r>
        <w:drawing>
          <wp:inline>
            <wp:extent cx="5334000" cy="3697845"/>
            <wp:effectExtent b="0" l="0" r="0" t="0"/>
            <wp:docPr descr="Figure 4-5: Verification (thermal) — transient temperature profiles of the present DQM+Newmark solver against the exact Bessel-series solution at t = 2, 10 and 40 s" title="" id="29" name="Picture"/>
            <a:graphic>
              <a:graphicData uri="http://schemas.openxmlformats.org/drawingml/2006/picture">
                <pic:pic>
                  <pic:nvPicPr>
                    <pic:cNvPr descr="figures_ch4_bw/bench2_T_profile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7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4-5: Verification (thermal) — transient temperature profiles of the present DQM+Newmark solver against the exact Bessel-series solution at t = 2, 10 and 40 s</w:t>
      </w:r>
    </w:p>
    <w:p>
      <w:pPr>
        <w:pStyle w:val="BodyText"/>
      </w:pPr>
      <w:r>
        <w:rPr>
          <w:b/>
          <w:bCs/>
        </w:rPr>
        <w:t xml:space="preserve">Table 4-6: Summary of the solver verification tests.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static spatial assembly</w:t>
            </w:r>
          </w:p>
        </w:tc>
        <w:tc>
          <w:tcPr/>
          <w:p>
            <w:pPr>
              <w:pStyle w:val="Compact"/>
            </w:pPr>
            <w:r>
              <w:t xml:space="preserve">independent static solver</w:t>
            </w:r>
          </w:p>
        </w:tc>
        <w:tc>
          <w:tcPr/>
          <w:p>
            <w:pPr>
              <w:pStyle w:val="Compact"/>
            </w:pPr>
            <w:r>
              <w:t xml:space="preserve">agreement 2×10⁻¹¹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dynamic mechanical response</w:t>
            </w:r>
          </w:p>
        </w:tc>
        <w:tc>
          <w:tcPr/>
          <w:p>
            <w:pPr>
              <w:pStyle w:val="Compact"/>
            </w:pPr>
            <w:r>
              <w:t xml:space="preserve">reference [31] + ANSYS</w:t>
            </w:r>
          </w:p>
        </w:tc>
        <w:tc>
          <w:tcPr/>
          <w:p>
            <w:pPr>
              <w:pStyle w:val="Compact"/>
            </w:pPr>
            <w:r>
              <w:t xml:space="preserve">error 0.1–0.2 %; σ_rr exact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transient conduction</w:t>
            </w:r>
          </w:p>
        </w:tc>
        <w:tc>
          <w:tcPr/>
          <w:p>
            <w:pPr>
              <w:pStyle w:val="Compact"/>
            </w:pPr>
            <w:r>
              <w:t xml:space="preserve">exact Bessel-series solution</w:t>
            </w:r>
          </w:p>
        </w:tc>
        <w:tc>
          <w:tcPr/>
          <w:p>
            <w:pPr>
              <w:pStyle w:val="Compact"/>
            </w:pPr>
            <w:r>
              <w:t xml:space="preserve">rel. error 10⁻⁵–10⁻⁷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time integration</w:t>
            </w:r>
          </w:p>
        </w:tc>
        <w:tc>
          <w:tcPr/>
          <w:p>
            <w:pPr>
              <w:pStyle w:val="Compact"/>
            </w:pPr>
            <w:r>
              <w:t xml:space="preserve">ode15s (independent)</w:t>
            </w:r>
          </w:p>
        </w:tc>
        <w:tc>
          <w:tcPr/>
          <w:p>
            <w:pPr>
              <w:pStyle w:val="Compact"/>
            </w:pPr>
            <w:r>
              <w:t xml:space="preserve">max difference 0.003 K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coupled Lord-Shulman waves</w:t>
            </w:r>
          </w:p>
        </w:tc>
        <w:tc>
          <w:tcPr/>
          <w:p>
            <w:pPr>
              <w:pStyle w:val="Compact"/>
            </w:pPr>
            <w:r>
              <w:t xml:space="preserve">Bagri &amp; Eslami [7]</w:t>
            </w:r>
          </w:p>
        </w:tc>
        <w:tc>
          <w:tcPr/>
          <w:p>
            <w:pPr>
              <w:pStyle w:val="Compact"/>
            </w:pPr>
            <w:r>
              <w:t xml:space="preserve">speeds and reflections matched</w:t>
            </w:r>
          </w:p>
        </w:tc>
      </w:tr>
    </w:tbl>
    <w:bookmarkEnd w:id="31"/>
    <w:bookmarkStart w:id="35" w:name="effect-of-the-gpl-distribution-pattern"/>
    <w:p>
      <w:pPr>
        <w:pStyle w:val="Heading2"/>
      </w:pPr>
      <w:r>
        <w:t xml:space="preserve">4-5. Effect of the GPL distribution pattern</w:t>
      </w:r>
    </w:p>
    <w:p>
      <w:pPr>
        <w:pStyle w:val="FirstParagraph"/>
      </w:pPr>
      <w:r>
        <w:t xml:space="preserve">In the first parametric study the effect of five GPL distribution patterns across</w:t>
      </w:r>
      <w:r>
        <w:t xml:space="preserve"> </w:t>
      </w:r>
      <w:r>
        <w:t xml:space="preserve">the thickness (UD, O, X, V and A) is examined with all other parameters held at</w:t>
      </w:r>
      <w:r>
        <w:t xml:space="preserve"> </w:t>
      </w:r>
      <w:r>
        <w:t xml:space="preserve">their reference values. Figure 4-6 shows the time histories of the dimensionless</w:t>
      </w:r>
      <w:r>
        <w:t xml:space="preserve"> </w:t>
      </w:r>
      <w:r>
        <w:t xml:space="preserve">temperature and radial displacement of the mid-thickness point at the mid-length</w:t>
      </w:r>
      <w:r>
        <w:t xml:space="preserve"> </w:t>
      </w:r>
      <w:r>
        <w:t xml:space="preserve">section together with the radial profiles of the temperature and hoop stress at</w:t>
      </w:r>
      <w:r>
        <w:t xml:space="preserve"> </w:t>
      </w:r>
      <w:r>
        <w:t xml:space="preserve">the final time.</w:t>
      </w:r>
    </w:p>
    <w:p>
      <w:pPr>
        <w:pStyle w:val="BodyText"/>
      </w:pPr>
      <w:r>
        <w:rPr>
          <w:b/>
          <w:bCs/>
        </w:rPr>
        <w:t xml:space="preserve">4-6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6: Effect of the GPL distribution pattern (UD, O, X, V, A) on the mid-point T* and U* histories and the final T* and Σθθ profiles [R_i=1, R_o=1.5, L=2.1 m, N_L=7, W_GPL=0.3%, e_m3=0.8604, τ*=0.15, P_i=50 MPa, simply supported]" title="" id="33" name="Picture"/>
            <a:graphic>
              <a:graphicData uri="http://schemas.openxmlformats.org/drawingml/2006/picture">
                <pic:pic>
                  <pic:nvPicPr>
                    <pic:cNvPr descr="figures_ch4_bw/A_GPL_patterns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4-6: Effect of the GPL distribution pattern (UD, O, X, V, A) on the mid-point T* and U* histories and the final T* and Σθθ profiles [R_i=1, R_o=1.5, L=2.1 m, N_L=7, W_GPL=0.3%, e_m3=0.8604, τ*=0.15, P_i=50 MPa, simply supported]</w:t>
      </w:r>
    </w:p>
    <w:p>
      <w:pPr>
        <w:pStyle w:val="BodyText"/>
      </w:pPr>
      <w:r>
        <w:t xml:space="preserve">The peak mid-point dimensionless temperature for patterns UD, O, X, V and A is</w:t>
      </w:r>
      <w:r>
        <w:t xml:space="preserve"> </w:t>
      </w:r>
      <w:r>
        <w:t xml:space="preserve">0.926, 0.867, 0.841, 0.661 and 0.982, respectively. Pattern V, in which the GPLs</w:t>
      </w:r>
      <w:r>
        <w:t xml:space="preserve"> </w:t>
      </w:r>
      <w:r>
        <w:t xml:space="preserve">are concentrated at the heated inner surface, shows the most favorable behavior:</w:t>
      </w:r>
      <w:r>
        <w:t xml:space="preserve"> </w:t>
      </w:r>
      <w:r>
        <w:t xml:space="preserve">the highly conductive inner region spreads the incoming heat rapidly through the</w:t>
      </w:r>
      <w:r>
        <w:t xml:space="preserve"> </w:t>
      </w:r>
      <w:r>
        <w:t xml:space="preserve">thickness, so its peak temperature is about a third lower than that of pattern A.</w:t>
      </w:r>
      <w:r>
        <w:t xml:space="preserve"> </w:t>
      </w:r>
      <w:r>
        <w:t xml:space="preserve">Physically, placing the stiff, conductive phase where the temperature gradient is</w:t>
      </w:r>
      <w:r>
        <w:t xml:space="preserve"> </w:t>
      </w:r>
      <w:r>
        <w:t xml:space="preserve">steepest — at the heated inner wall — both moderates the thermal gradient and</w:t>
      </w:r>
      <w:r>
        <w:t xml:space="preserve"> </w:t>
      </w:r>
      <w:r>
        <w:t xml:space="preserve">reinforces the critical hoop-stress region.</w:t>
      </w:r>
    </w:p>
    <w:p>
      <w:pPr>
        <w:pStyle w:val="BodyText"/>
      </w:pPr>
      <w:r>
        <w:t xml:space="preserve">A mirror and inverse behavior emerges between the two asymmetric patterns V and</w:t>
      </w:r>
      <w:r>
        <w:t xml:space="preserve"> </w:t>
      </w:r>
      <w:r>
        <w:t xml:space="preserve">A: geometrically they are mirror images about the mid-thickness (V is GPL-rich at</w:t>
      </w:r>
      <w:r>
        <w:t xml:space="preserve"> </w:t>
      </w:r>
      <w:r>
        <w:t xml:space="preserve">the inner surface, A at the outer surface), and they behave in opposite ways.</w:t>
      </w:r>
      <w:r>
        <w:t xml:space="preserve"> </w:t>
      </w:r>
      <w:r>
        <w:t xml:space="preserve">Pattern V, facing the conductive phase toward the heat source, produces the</w:t>
      </w:r>
      <w:r>
        <w:t xml:space="preserve"> </w:t>
      </w:r>
      <w:r>
        <w:t xml:space="preserve">lowest and mildest peak (0.661), whereas pattern A, by leaving the</w:t>
      </w:r>
      <w:r>
        <w:t xml:space="preserve"> </w:t>
      </w:r>
      <w:r>
        <w:t xml:space="preserve">low-conductivity matrix at the inner surface, traps heat in the inner band and</w:t>
      </w:r>
      <w:r>
        <w:t xml:space="preserve"> </w:t>
      </w:r>
      <w:r>
        <w:t xml:space="preserve">records the highest peak (0.982). The symmetric patterns UD, O and X fall between</w:t>
      </w:r>
      <w:r>
        <w:t xml:space="preserve"> </w:t>
      </w:r>
      <w:r>
        <w:t xml:space="preserve">these extremes, and this mirror ordering explains why V is the best and A the</w:t>
      </w:r>
      <w:r>
        <w:t xml:space="preserve"> </w:t>
      </w:r>
      <w:r>
        <w:t xml:space="preserve">worst.</w:t>
      </w:r>
    </w:p>
    <w:p>
      <w:pPr>
        <w:pStyle w:val="BodyText"/>
      </w:pPr>
      <w:r>
        <w:t xml:space="preserve">The same ordering governs the mechanical response. The final inner-surface hoop</w:t>
      </w:r>
      <w:r>
        <w:t xml:space="preserve"> </w:t>
      </w:r>
      <w:r>
        <w:t xml:space="preserve">stress for pattern V is 0.486, about three times smaller than that of UD (1.526)</w:t>
      </w:r>
      <w:r>
        <w:t xml:space="preserve"> </w:t>
      </w:r>
      <w:r>
        <w:t xml:space="preserve">and roughly five times smaller than that of pattern A (2.403); that is, the two</w:t>
      </w:r>
      <w:r>
        <w:t xml:space="preserve"> </w:t>
      </w:r>
      <w:r>
        <w:t xml:space="preserve">ends of the mirror spectrum record the lowest and the highest hoop stress. The</w:t>
      </w:r>
      <w:r>
        <w:t xml:space="preserve"> </w:t>
      </w:r>
      <w:r>
        <w:t xml:space="preserve">peak radial displacement follows the same trend, ranging from 8.26 for V to 9.08</w:t>
      </w:r>
      <w:r>
        <w:t xml:space="preserve"> </w:t>
      </w:r>
      <w:r>
        <w:t xml:space="preserve">for A. Pattern V therefore simultaneously delivers the lowest temperature, the</w:t>
      </w:r>
      <w:r>
        <w:t xml:space="preserve"> </w:t>
      </w:r>
      <w:r>
        <w:t xml:space="preserve">lowest hoop stress and the smallest displacement, while its mirror pattern A is</w:t>
      </w:r>
      <w:r>
        <w:t xml:space="preserve"> </w:t>
      </w:r>
      <w:r>
        <w:t xml:space="preserve">the worst case in all three; pattern V is recommended for the GPL distribution in</w:t>
      </w:r>
      <w:r>
        <w:t xml:space="preserve"> </w:t>
      </w:r>
      <w:r>
        <w:t xml:space="preserve">cylinders under internal thermal shock.</w:t>
      </w:r>
    </w:p>
    <w:p>
      <w:pPr>
        <w:pStyle w:val="BodyText"/>
      </w:pPr>
      <w:r>
        <w:t xml:space="preserve">A feature common to all the hoop-stress profiles is a set of step jumps at the</w:t>
      </w:r>
      <w:r>
        <w:t xml:space="preserve"> </w:t>
      </w:r>
      <w:r>
        <w:t xml:space="preserve">layer interfaces: wherever the layer stiffness changes, Σθθ is genuinely</w:t>
      </w:r>
      <w:r>
        <w:t xml:space="preserve"> </w:t>
      </w:r>
      <w:r>
        <w:t xml:space="preserve">discontinuous, so the graded patterns (O, X, V, A) show a staircase while the</w:t>
      </w:r>
      <w:r>
        <w:t xml:space="preserve"> </w:t>
      </w:r>
      <w:r>
        <w:t xml:space="preserve">uniform UD profile is smooth. These jumps are the physical signature of the</w:t>
      </w:r>
      <w:r>
        <w:t xml:space="preserve"> </w:t>
      </w:r>
      <w:r>
        <w:t xml:space="preserve">piecewise-layered material — not a numerical artifact — and they refine as the</w:t>
      </w:r>
      <w:r>
        <w:t xml:space="preserve"> </w:t>
      </w:r>
      <w:r>
        <w:t xml:space="preserve">layer count grows (Section 4-3). Where a parametric change is severe enough to</w:t>
      </w:r>
      <w:r>
        <w:t xml:space="preserve"> </w:t>
      </w:r>
      <w:r>
        <w:t xml:space="preserve">reverse the sign of the inner-surface hoop stress (as in the porosity-A, high</w:t>
      </w:r>
      <w:r>
        <w:t xml:space="preserve"> </w:t>
      </w:r>
      <w:r>
        <w:t xml:space="preserve">weight-fraction, thick-wall and short-length cases below), that reversal is</w:t>
      </w:r>
      <w:r>
        <w:t xml:space="preserve"> </w:t>
      </w:r>
      <w:r>
        <w:t xml:space="preserve">flagged and explained in the corresponding section.</w:t>
      </w:r>
    </w:p>
    <w:bookmarkEnd w:id="35"/>
    <w:bookmarkStart w:id="42" w:name="X010068c55f76942fb87a50811d0f7ee4b1eb2c3"/>
    <w:p>
      <w:pPr>
        <w:pStyle w:val="Heading2"/>
      </w:pPr>
      <w:r>
        <w:t xml:space="preserve">4-6. Effect of the porosity pattern and porosity level</w:t>
      </w:r>
    </w:p>
    <w:p>
      <w:pPr>
        <w:pStyle w:val="FirstParagraph"/>
      </w:pPr>
      <w:r>
        <w:t xml:space="preserve">This section examines the effect of the porosity distribution pattern across the</w:t>
      </w:r>
      <w:r>
        <w:t xml:space="preserve"> </w:t>
      </w:r>
      <w:r>
        <w:t xml:space="preserve">wall for the five patterns UD, O, X, V and A; the GPL distribution is kept uniform</w:t>
      </w:r>
      <w:r>
        <w:t xml:space="preserve"> </w:t>
      </w:r>
      <w:r>
        <w:t xml:space="preserve">(UD) and the remaining parameters are held at their reference values. Figure 4-7</w:t>
      </w:r>
      <w:r>
        <w:t xml:space="preserve"> </w:t>
      </w:r>
      <w:r>
        <w:t xml:space="preserve">shows the mid-point time histories together with the radial profiles at the final</w:t>
      </w:r>
      <w:r>
        <w:t xml:space="preserve"> </w:t>
      </w:r>
      <w:r>
        <w:t xml:space="preserve">time. The porosity pattern acts by reshaping the heat-conduction path, since a</w:t>
      </w:r>
      <w:r>
        <w:t xml:space="preserve"> </w:t>
      </w:r>
      <w:r>
        <w:t xml:space="preserve">porous band of negligible conductivity behaves as a localized thermal resistance.</w:t>
      </w:r>
      <w:r>
        <w:t xml:space="preserve"> </w:t>
      </w:r>
      <w:r>
        <w:t xml:space="preserve">The three symmetric patterns UD, O and X behave similarly, with mid-point peak</w:t>
      </w:r>
      <w:r>
        <w:t xml:space="preserve"> </w:t>
      </w:r>
      <w:r>
        <w:t xml:space="preserve">temperatures of 0.926, 0.927 and 0.867; in these patterns the porous phase is</w:t>
      </w:r>
      <w:r>
        <w:t xml:space="preserve"> </w:t>
      </w:r>
      <w:r>
        <w:t xml:space="preserve">uniformly spread or symmetric about the mid-thickness and does not render the</w:t>
      </w:r>
      <w:r>
        <w:t xml:space="preserve"> </w:t>
      </w:r>
      <w:r>
        <w:t xml:space="preserve">conduction path fundamentally asymmetric.</w:t>
      </w:r>
    </w:p>
    <w:p>
      <w:pPr>
        <w:pStyle w:val="BodyText"/>
      </w:pPr>
      <w:r>
        <w:rPr>
          <w:b/>
          <w:bCs/>
        </w:rPr>
        <w:t xml:space="preserve">4-7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7: Effect of the porosity distribution pattern (UD, O, X, V, A), GPL uniform [R_i=1, R_o=1.5, L=2.1 m, N_L=7, W_GPL=0.3%, e_m3=0.8604, τ*=0.15, P_i=50 MPa, simply supported]" title="" id="37" name="Picture"/>
            <a:graphic>
              <a:graphicData uri="http://schemas.openxmlformats.org/drawingml/2006/picture">
                <pic:pic>
                  <pic:nvPicPr>
                    <pic:cNvPr descr="figures_ch4_bw/B_porosity_patterns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4-7: Effect of the porosity distribution pattern (UD, O, X, V, A), GPL uniform [R_i=1, R_o=1.5, L=2.1 m, N_L=7, W_GPL=0.3%, e_m3=0.8604, τ*=0.15, P_i=50 MPa, simply supported]</w:t>
      </w:r>
    </w:p>
    <w:p>
      <w:pPr>
        <w:pStyle w:val="BodyText"/>
      </w:pPr>
      <w:r>
        <w:t xml:space="preserve">The key result lies in the two asymmetric patterns V and A, which are mirror</w:t>
      </w:r>
      <w:r>
        <w:t xml:space="preserve"> </w:t>
      </w:r>
      <w:r>
        <w:t xml:space="preserve">images yet produce completely opposite thermal responses. In pattern V the pores</w:t>
      </w:r>
      <w:r>
        <w:t xml:space="preserve"> </w:t>
      </w:r>
      <w:r>
        <w:t xml:space="preserve">are concentrated at the heated inner surface; this insulating band traps the</w:t>
      </w:r>
      <w:r>
        <w:t xml:space="preserve"> </w:t>
      </w:r>
      <w:r>
        <w:t xml:space="preserve">incoming heat near the inner surface and prevents its rapid spread. As a result</w:t>
      </w:r>
      <w:r>
        <w:t xml:space="preserve"> </w:t>
      </w:r>
      <w:r>
        <w:t xml:space="preserve">the mid-point temperature history displays a pronounced transient peak — the</w:t>
      </w:r>
      <w:r>
        <w:t xml:space="preserve"> </w:t>
      </w:r>
      <w:r>
        <w:t xml:space="preserve">largest overshoot of this group — reaching 1.109 at a Fourier number of 0.79, and</w:t>
      </w:r>
      <w:r>
        <w:t xml:space="preserve"> </w:t>
      </w:r>
      <w:r>
        <w:t xml:space="preserve">then relaxes to 1.002 by the end of the interval. At the opposite extreme, pattern</w:t>
      </w:r>
      <w:r>
        <w:t xml:space="preserve"> </w:t>
      </w:r>
      <w:r>
        <w:t xml:space="preserve">A concentrates the pores at the cooled outer surface: instead of trapping the heat</w:t>
      </w:r>
      <w:r>
        <w:t xml:space="preserve"> </w:t>
      </w:r>
      <w:r>
        <w:t xml:space="preserve">it blocks the heat-exit path toward the environment and thus behaves as a genuine</w:t>
      </w:r>
      <w:r>
        <w:t xml:space="preserve"> </w:t>
      </w:r>
      <w:r>
        <w:rPr>
          <w:b/>
          <w:bCs/>
        </w:rPr>
        <w:t xml:space="preserve">thermal barrier</w:t>
      </w:r>
      <w:r>
        <w:t xml:space="preserve">. In this pattern the outer-surface temperature never exceeds</w:t>
      </w:r>
      <w:r>
        <w:t xml:space="preserve"> </w:t>
      </w:r>
      <w:r>
        <w:t xml:space="preserve">0.107 — about eight times smaller than the value 0.883 of the reference — and the</w:t>
      </w:r>
      <w:r>
        <w:t xml:space="preserve"> </w:t>
      </w:r>
      <w:r>
        <w:t xml:space="preserve">mid-point peak collapses to 0.128.</w:t>
      </w:r>
    </w:p>
    <w:p>
      <w:pPr>
        <w:pStyle w:val="BodyText"/>
      </w:pPr>
      <w:r>
        <w:t xml:space="preserve">The favorable thermal performance of pattern A is paid for on the mechanical</w:t>
      </w:r>
      <w:r>
        <w:t xml:space="preserve"> </w:t>
      </w:r>
      <w:r>
        <w:t xml:space="preserve">side. Because the heat never penetrates deep into the wall, the thermal expansion</w:t>
      </w:r>
      <w:r>
        <w:t xml:space="preserve"> </w:t>
      </w:r>
      <w:r>
        <w:t xml:space="preserve">is suppressed, and the unusual temperature distribution reverses the sign of the</w:t>
      </w:r>
      <w:r>
        <w:t xml:space="preserve"> </w:t>
      </w:r>
      <w:r>
        <w:t xml:space="preserve">inner-surface hoop stress, which reaches a negative (compressive) value of 0.359;</w:t>
      </w:r>
      <w:r>
        <w:t xml:space="preserve"> </w:t>
      </w:r>
      <w:r>
        <w:t xml:space="preserve">that is, the inner region, normally under hoop tension, turns compressive. This</w:t>
      </w:r>
      <w:r>
        <w:t xml:space="preserve"> </w:t>
      </w:r>
      <w:r>
        <w:t xml:space="preserve">sign reversal must be carefully accounted for in the design of cylinders under</w:t>
      </w:r>
      <w:r>
        <w:t xml:space="preserve"> </w:t>
      </w:r>
      <w:r>
        <w:t xml:space="preserve">internal thermal shock.</w:t>
      </w:r>
    </w:p>
    <w:p>
      <w:pPr>
        <w:pStyle w:val="BodyText"/>
      </w:pPr>
      <w:r>
        <w:rPr>
          <w:b/>
          <w:bCs/>
        </w:rPr>
        <w:t xml:space="preserve">4-8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8: Effect of the porosity level e_m3 = 0.9675 / 0.8604 / 0.7776 [R_o/R_i=1.5, L=2.1 m, N_L=7, W_GPL=0.3%, UD, τ*=0.15, P_i=50 MPa, simply supported]" title="" id="40" name="Picture"/>
            <a:graphic>
              <a:graphicData uri="http://schemas.openxmlformats.org/drawingml/2006/picture">
                <pic:pic>
                  <pic:nvPicPr>
                    <pic:cNvPr descr="figures_ch4_bw/E_porosity_level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4-8: Effect of the porosity level e_m3 = 0.9675 / 0.8604 / 0.7776 [R_o/R_i=1.5, L=2.1 m, N_L=7, W_GPL=0.3%, UD, τ*=0.15, P_i=50 MPa, simply supported]</w:t>
      </w:r>
    </w:p>
    <w:p>
      <w:pPr>
        <w:pStyle w:val="BodyText"/>
      </w:pPr>
      <w:r>
        <w:t xml:space="preserve">Finally, the effect of the overall porosity level is shown in Figure 4-8 for the</w:t>
      </w:r>
      <w:r>
        <w:t xml:space="preserve"> </w:t>
      </w:r>
      <w:r>
        <w:t xml:space="preserve">three mass coefficients e_m3 = 0.9675, 0.8604 and 0.7776 (light, moderate and</w:t>
      </w:r>
      <w:r>
        <w:t xml:space="preserve"> </w:t>
      </w:r>
      <w:r>
        <w:t xml:space="preserve">heavy porosity). Increasing the porosity lowers the conductivity and the stiffness</w:t>
      </w:r>
      <w:r>
        <w:t xml:space="preserve"> </w:t>
      </w:r>
      <w:r>
        <w:t xml:space="preserve">together; consequently the peak mid-point temperature grows mildly, from 0.905</w:t>
      </w:r>
      <w:r>
        <w:t xml:space="preserve"> </w:t>
      </w:r>
      <w:r>
        <w:t xml:space="preserve">through 0.926 to 0.942, while the peak radial displacement rises more strongly,</w:t>
      </w:r>
      <w:r>
        <w:t xml:space="preserve"> </w:t>
      </w:r>
      <w:r>
        <w:t xml:space="preserve">from 7.87 through 9.10 to 10.37, as the softer wall deforms more under the same</w:t>
      </w:r>
      <w:r>
        <w:t xml:space="preserve"> </w:t>
      </w:r>
      <w:r>
        <w:t xml:space="preserve">loading.</w:t>
      </w:r>
    </w:p>
    <w:bookmarkEnd w:id="42"/>
    <w:bookmarkStart w:id="49" w:name="effect-of-the-gpl-weight-fraction"/>
    <w:p>
      <w:pPr>
        <w:pStyle w:val="Heading2"/>
      </w:pPr>
      <w:r>
        <w:t xml:space="preserve">4-7. Effect of the GPL weight fraction</w:t>
      </w:r>
    </w:p>
    <w:p>
      <w:pPr>
        <w:pStyle w:val="FirstParagraph"/>
      </w:pPr>
      <w:r>
        <w:rPr>
          <w:b/>
          <w:bCs/>
        </w:rPr>
        <w:t xml:space="preserve">4-9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9: Effect of the GPL weight fraction (low range) W = 0.1 / 0.3 / 0.5 / 0.9 / 1.5 % [R_o/R_i=1.5, L=2.1 m, N_L=7, UD, e_m3=0.8604, τ*=0.15, P_i=50 MPa, simply supported]" title="" id="44" name="Picture"/>
            <a:graphic>
              <a:graphicData uri="http://schemas.openxmlformats.org/drawingml/2006/picture">
                <pic:pic>
                  <pic:nvPicPr>
                    <pic:cNvPr descr="figures_ch4_bw/D_wt_low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4-9: Effect of the GPL weight fraction (low range) W = 0.1 / 0.3 / 0.5 / 0.9 / 1.5 % [R_o/R_i=1.5, L=2.1 m, N_L=7, UD, e_m3=0.8604, τ*=0.15, P_i=50 MPa, simply supported]</w:t>
      </w:r>
    </w:p>
    <w:p>
      <w:pPr>
        <w:pStyle w:val="BodyText"/>
      </w:pPr>
      <w:r>
        <w:t xml:space="preserve">The percolation character of the thermal-conductivity model (Chapter 3) makes the</w:t>
      </w:r>
      <w:r>
        <w:t xml:space="preserve"> </w:t>
      </w:r>
      <w:r>
        <w:t xml:space="preserve">GPL weight fraction the strongest material lever of the problem. Figure 4-9 scans</w:t>
      </w:r>
      <w:r>
        <w:t xml:space="preserve"> </w:t>
      </w:r>
      <w:r>
        <w:t xml:space="preserve">the low range W = 0.1, 0.3, 0.5, 0.9 and 1.5 %. At the smallest fraction the</w:t>
      </w:r>
      <w:r>
        <w:t xml:space="preserve"> </w:t>
      </w:r>
      <w:r>
        <w:t xml:space="preserve">graphene network is barely percolated: the thermal wave penetrates weakly, the</w:t>
      </w:r>
      <w:r>
        <w:t xml:space="preserve"> </w:t>
      </w:r>
      <w:r>
        <w:t xml:space="preserve">outer-surface temperature reaches only 0.484 and the mid-point peak stays at</w:t>
      </w:r>
      <w:r>
        <w:t xml:space="preserve"> </w:t>
      </w:r>
      <w:r>
        <w:t xml:space="preserve">0.631. As the weight fraction rises, the percolated network raises the effective</w:t>
      </w:r>
      <w:r>
        <w:t xml:space="preserve"> </w:t>
      </w:r>
      <w:r>
        <w:t xml:space="preserve">conductivity and the wall fills with heat: the mid-point peak grows to 0.926,</w:t>
      </w:r>
      <w:r>
        <w:t xml:space="preserve"> </w:t>
      </w:r>
      <w:r>
        <w:t xml:space="preserve">0.991, 1.061 and 1.115, and the outer-surface temperature climbs to essentially</w:t>
      </w:r>
      <w:r>
        <w:t xml:space="preserve"> </w:t>
      </w:r>
      <w:r>
        <w:t xml:space="preserve">unity (full through-wall penetration) by W = 0.9 %. Because the added graphene</w:t>
      </w:r>
      <w:r>
        <w:t xml:space="preserve"> </w:t>
      </w:r>
      <w:r>
        <w:t xml:space="preserve">also stiffens the wall, the peak radial displacement falls in the opposite</w:t>
      </w:r>
      <w:r>
        <w:t xml:space="preserve"> </w:t>
      </w:r>
      <w:r>
        <w:t xml:space="preserve">direction, from 10.60 at W = 0.1 % to 6.06 at W = 1.5 %.</w:t>
      </w:r>
    </w:p>
    <w:p>
      <w:pPr>
        <w:pStyle w:val="BodyText"/>
      </w:pPr>
      <w:r>
        <w:rPr>
          <w:b/>
          <w:bCs/>
        </w:rPr>
        <w:t xml:space="preserve">4-10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10: Effect of the GPL weight fraction (high range) W = 1 / 2 / 4 / 8 % [R_o/R_i=1.5, L=2.1 m, N_L=7, UD, e_m3=0.8604, τ*=0.15, P_i=50 MPa, simply supported]" title="" id="47" name="Picture"/>
            <a:graphic>
              <a:graphicData uri="http://schemas.openxmlformats.org/drawingml/2006/picture">
                <pic:pic>
                  <pic:nvPicPr>
                    <pic:cNvPr descr="figures_ch4_bw/D2_wt_high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4-10: Effect of the GPL weight fraction (high range) W = 1 / 2 / 4 / 8 % [R_o/R_i=1.5, L=2.1 m, N_L=7, UD, e_m3=0.8604, τ*=0.15, P_i=50 MPa, simply supported]</w:t>
      </w:r>
    </w:p>
    <w:p>
      <w:pPr>
        <w:pStyle w:val="BodyText"/>
      </w:pPr>
      <w:r>
        <w:t xml:space="preserve">The higher range W = 1, 2, 4 and 8 % is shown in Figure 4-10. Here the thermal</w:t>
      </w:r>
      <w:r>
        <w:t xml:space="preserve"> </w:t>
      </w:r>
      <w:r>
        <w:t xml:space="preserve">response saturates — the mid-point peak rises only gradually from 1.072 to 1.261</w:t>
      </w:r>
      <w:r>
        <w:t xml:space="preserve"> </w:t>
      </w:r>
      <w:r>
        <w:t xml:space="preserve">— but the mechanical penalty grows sharply: the peak hoop stress more than</w:t>
      </w:r>
      <w:r>
        <w:t xml:space="preserve"> </w:t>
      </w:r>
      <w:r>
        <w:t xml:space="preserve">doubles, from 2.45 to 5.71, and the inner-surface hoop stress falls and reverses</w:t>
      </w:r>
      <w:r>
        <w:t xml:space="preserve"> </w:t>
      </w:r>
      <w:r>
        <w:t xml:space="preserve">sign, from 1.474 at 1 % to −1.580 at 8 %, as the stiff, highly loaded inner band</w:t>
      </w:r>
      <w:r>
        <w:t xml:space="preserve"> </w:t>
      </w:r>
      <w:r>
        <w:t xml:space="preserve">is driven into compression. The practical conclusion is that a small weight</w:t>
      </w:r>
      <w:r>
        <w:t xml:space="preserve"> </w:t>
      </w:r>
      <w:r>
        <w:t xml:space="preserve">fraction suffices to switch the wall from a poor to a good thermal conductor,</w:t>
      </w:r>
      <w:r>
        <w:t xml:space="preserve"> </w:t>
      </w:r>
      <w:r>
        <w:t xml:space="preserve">whereas adding graphene beyond that yields only a mild thermal improvement while</w:t>
      </w:r>
      <w:r>
        <w:t xml:space="preserve"> </w:t>
      </w:r>
      <w:r>
        <w:t xml:space="preserve">mainly raising the thermal stresses. Most previous works examined the range 0.1</w:t>
      </w:r>
      <w:r>
        <w:t xml:space="preserve"> </w:t>
      </w:r>
      <w:r>
        <w:t xml:space="preserve">to 2 %; here the range is extended to 8 % to expose the saturation of the thermal</w:t>
      </w:r>
      <w:r>
        <w:t xml:space="preserve"> </w:t>
      </w:r>
      <w:r>
        <w:t xml:space="preserve">gain and the growth of the stresses.</w:t>
      </w:r>
    </w:p>
    <w:bookmarkEnd w:id="49"/>
    <w:bookmarkStart w:id="56" w:name="effect-of-the-gpl-aspect-ratios"/>
    <w:p>
      <w:pPr>
        <w:pStyle w:val="Heading2"/>
      </w:pPr>
      <w:r>
        <w:t xml:space="preserve">4-8. Effect of the GPL aspect ratios</w:t>
      </w:r>
    </w:p>
    <w:p>
      <w:pPr>
        <w:pStyle w:val="FirstParagraph"/>
      </w:pPr>
      <w:r>
        <w:t xml:space="preserve">The Halpin–Tsai model of Chapter 3 makes the reinforced properties depend not</w:t>
      </w:r>
      <w:r>
        <w:t xml:space="preserve"> </w:t>
      </w:r>
      <w:r>
        <w:t xml:space="preserve">only on the volume fraction but also on the platelet geometry, described by two</w:t>
      </w:r>
      <w:r>
        <w:t xml:space="preserve"> </w:t>
      </w:r>
      <w:r>
        <w:t xml:space="preserve">independent aspect ratios: the length-to-width ratio a/b, entering through the</w:t>
      </w:r>
      <w:r>
        <w:t xml:space="preserve"> </w:t>
      </w:r>
      <w:r>
        <w:t xml:space="preserve">characteristic length a_GPL, and the width-to-thickness ratio b/t, entering</w:t>
      </w:r>
      <w:r>
        <w:t xml:space="preserve"> </w:t>
      </w:r>
      <w:r>
        <w:t xml:space="preserve">through the characteristic thickness t_GPL. Each is examined separately with all</w:t>
      </w:r>
      <w:r>
        <w:t xml:space="preserve"> </w:t>
      </w:r>
      <w:r>
        <w:t xml:space="preserve">other parameters at their reference values.</w:t>
      </w:r>
    </w:p>
    <w:p>
      <w:pPr>
        <w:pStyle w:val="BodyText"/>
      </w:pPr>
      <w:r>
        <w:rPr>
          <w:b/>
          <w:bCs/>
        </w:rPr>
        <w:t xml:space="preserve">4-11</w:t>
      </w:r>
    </w:p>
    <w:p>
      <w:pPr>
        <w:pStyle w:val="CaptionedFigure"/>
      </w:pPr>
      <w:r>
        <w:drawing>
          <wp:inline>
            <wp:extent cx="5334000" cy="3297867"/>
            <wp:effectExtent b="0" l="0" r="0" t="0"/>
            <wp:docPr descr="Figure 4-11: Effect of the platelet length-to-width aspect ratio a/b = 1.0 / 1.67 / 2.67 [R_o/R_i=1.5, L=2.1 m, N_L=7, W_GPL=0.3%, e_m3=0.8604, τ*=0.15, P_i=50 MPa, simply supported]" title="" id="51" name="Picture"/>
            <a:graphic>
              <a:graphicData uri="http://schemas.openxmlformats.org/drawingml/2006/picture">
                <pic:pic>
                  <pic:nvPicPr>
                    <pic:cNvPr descr="figures_ch4_bw/O_aspect_ab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7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4-11: Effect of the platelet length-to-width aspect ratio a/b = 1.0 / 1.67 / 2.67 [R_o/R_i=1.5, L=2.1 m, N_L=7, W_GPL=0.3%, e_m3=0.8604, τ*=0.15, P_i=50 MPa, simply supported]</w:t>
      </w:r>
    </w:p>
    <w:p>
      <w:pPr>
        <w:pStyle w:val="BodyText"/>
      </w:pPr>
      <w:r>
        <w:t xml:space="preserve">The effect of the length-to-width ratio is shown in Figure 4-11. As a/b increases</w:t>
      </w:r>
      <w:r>
        <w:t xml:space="preserve"> </w:t>
      </w:r>
      <w:r>
        <w:t xml:space="preserve">from 1.0 to 1.67 (reference) and then to 2.67, the peak mid-point temperature</w:t>
      </w:r>
      <w:r>
        <w:t xml:space="preserve"> </w:t>
      </w:r>
      <w:r>
        <w:t xml:space="preserve">rises only from 0.898 to 0.926 and 0.939, and the inner-surface hoop stress from</w:t>
      </w:r>
      <w:r>
        <w:t xml:space="preserve"> </w:t>
      </w:r>
      <w:r>
        <w:t xml:space="preserve">1.453 to 1.526 and 1.556 — changes of a few percent.</w:t>
      </w:r>
    </w:p>
    <w:p>
      <w:pPr>
        <w:pStyle w:val="BodyText"/>
      </w:pPr>
      <w:r>
        <w:rPr>
          <w:b/>
          <w:bCs/>
        </w:rPr>
        <w:t xml:space="preserve">4-12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12: Effect of the platelet width-to-thickness aspect ratio b/t = 500 / 1000 / 2000 [R_o/R_i=1.5, L=2.1 m, N_L=7, W_GPL=0.3%, e_m3=0.8604, τ*=0.15, P_i=50 MPa, simply supported]" title="" id="54" name="Picture"/>
            <a:graphic>
              <a:graphicData uri="http://schemas.openxmlformats.org/drawingml/2006/picture">
                <pic:pic>
                  <pic:nvPicPr>
                    <pic:cNvPr descr="figures_ch4_bw/P_aspect_bt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4-12: Effect of the platelet width-to-thickness aspect ratio b/t = 500 / 1000 / 2000 [R_o/R_i=1.5, L=2.1 m, N_L=7, W_GPL=0.3%, e_m3=0.8604, τ*=0.15, P_i=50 MPa, simply supported]</w:t>
      </w:r>
    </w:p>
    <w:p>
      <w:pPr>
        <w:pStyle w:val="BodyText"/>
      </w:pPr>
      <w:r>
        <w:t xml:space="preserve">The width-to-thickness ratio (Figure 4-12) is even weaker at this reference: as b/t</w:t>
      </w:r>
      <w:r>
        <w:t xml:space="preserve"> </w:t>
      </w:r>
      <w:r>
        <w:t xml:space="preserve">increases from 500 to 1000 and 2000, the peak temperature is essentially constant</w:t>
      </w:r>
      <w:r>
        <w:t xml:space="preserve"> </w:t>
      </w:r>
      <w:r>
        <w:t xml:space="preserve">(0.926, 0.926, 0.925) and the inner-surface hoop stress changes only from 1.542</w:t>
      </w:r>
      <w:r>
        <w:t xml:space="preserve"> </w:t>
      </w:r>
      <w:r>
        <w:t xml:space="preserve">to 1.516. At the low reference weight fraction of 0.3 % the reinforcement is too</w:t>
      </w:r>
      <w:r>
        <w:t xml:space="preserve"> </w:t>
      </w:r>
      <w:r>
        <w:t xml:space="preserve">dilute for platelet geometry to matter; both aspect ratios are therefore</w:t>
      </w:r>
      <w:r>
        <w:t xml:space="preserve"> </w:t>
      </w:r>
      <w:r>
        <w:t xml:space="preserve">second-order levers here, in contrast to the high-weight-fraction regime where the</w:t>
      </w:r>
      <w:r>
        <w:t xml:space="preserve"> </w:t>
      </w:r>
      <w:r>
        <w:t xml:space="preserve">width-to-thickness ratio dominates. This distinction is itself a useful design</w:t>
      </w:r>
      <w:r>
        <w:t xml:space="preserve"> </w:t>
      </w:r>
      <w:r>
        <w:t xml:space="preserve">observation: platelet shape becomes a meaningful lever only once the weight</w:t>
      </w:r>
      <w:r>
        <w:t xml:space="preserve"> </w:t>
      </w:r>
      <w:r>
        <w:t xml:space="preserve">fraction is large enough for the reinforcement to control the effective</w:t>
      </w:r>
      <w:r>
        <w:t xml:space="preserve"> </w:t>
      </w:r>
      <w:r>
        <w:t xml:space="preserve">properties.</w:t>
      </w:r>
    </w:p>
    <w:bookmarkEnd w:id="56"/>
    <w:bookmarkStart w:id="60" w:name="Xa0a4f2ec79457097fc13ef5bb4a7f53f3d50b31"/>
    <w:p>
      <w:pPr>
        <w:pStyle w:val="Heading2"/>
      </w:pPr>
      <w:r>
        <w:t xml:space="preserve">4-9. Effect of the relaxation time; Lord-Shulman versus Fourier</w:t>
      </w:r>
    </w:p>
    <w:p>
      <w:pPr>
        <w:pStyle w:val="FirstParagraph"/>
      </w:pPr>
      <w:r>
        <w:rPr>
          <w:b/>
          <w:bCs/>
        </w:rPr>
        <w:t xml:space="preserve">4-13</w:t>
      </w:r>
    </w:p>
    <w:p>
      <w:pPr>
        <w:pStyle w:val="CaptionedFigure"/>
      </w:pPr>
      <w:r>
        <w:drawing>
          <wp:inline>
            <wp:extent cx="5334000" cy="3297867"/>
            <wp:effectExtent b="0" l="0" r="0" t="0"/>
            <wp:docPr descr="Figure 4-13: Effect of the relaxation time — Fourier (τ=0) and Lord–Shulman τ = 0.04 / 0.15 / 0.44 [R_o/R_i=1.5, L=2.1 m, N_L=7, W_GPL=0.3%, e_m3=0.8604, P_i=50 MPa, simply supported]" title="" id="58" name="Picture"/>
            <a:graphic>
              <a:graphicData uri="http://schemas.openxmlformats.org/drawingml/2006/picture">
                <pic:pic>
                  <pic:nvPicPr>
                    <pic:cNvPr descr="figures_ch4_bw/C_relaxation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7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4-13: Effect of the relaxation time — Fourier (τ</w:t>
      </w:r>
      <w:r>
        <w:rPr>
          <w:i/>
          <w:iCs/>
        </w:rPr>
        <w:t xml:space="preserve">=0) and Lord–Shulman τ</w:t>
      </w:r>
      <w:r>
        <w:t xml:space="preserve"> </w:t>
      </w:r>
      <w:r>
        <w:t xml:space="preserve">= 0.04 / 0.15 / 0.44 [R_o/R_i=1.5, L=2.1 m, N_L=7, W_GPL=0.3%, e_m3=0.8604, P_i=50 MPa, simply supported]</w:t>
      </w:r>
    </w:p>
    <w:p>
      <w:pPr>
        <w:pStyle w:val="BodyText"/>
      </w:pPr>
      <w:r>
        <w:t xml:space="preserve">Figure 4-13 compares Fourier conduction (τ* = 0) with four dimensionless</w:t>
      </w:r>
      <w:r>
        <w:t xml:space="preserve"> </w:t>
      </w:r>
      <w:r>
        <w:t xml:space="preserve">relaxation times τ* = 0.04, 0.15 and 0.44. Under Fourier conduction the</w:t>
      </w:r>
      <w:r>
        <w:t xml:space="preserve"> </w:t>
      </w:r>
      <w:r>
        <w:t xml:space="preserve">mid-point temperature increases monotonically and never exceeds the driving value</w:t>
      </w:r>
      <w:r>
        <w:t xml:space="preserve"> </w:t>
      </w:r>
      <w:r>
        <w:t xml:space="preserve">(peak 0.950), since classical diffusion, with its unbounded propagation speed,</w:t>
      </w:r>
      <w:r>
        <w:t xml:space="preserve"> </w:t>
      </w:r>
      <w:r>
        <w:t xml:space="preserve">cannot produce an overshoot. With the relaxation time active in the Lord-Shulman</w:t>
      </w:r>
      <w:r>
        <w:t xml:space="preserve"> </w:t>
      </w:r>
      <w:r>
        <w:t xml:space="preserve">theory the heat propagates as a wave of finite speed √(α̂/τ0): the peak grows to</w:t>
      </w:r>
      <w:r>
        <w:t xml:space="preserve"> </w:t>
      </w:r>
      <w:r>
        <w:t xml:space="preserve">0.953, 0.962 and 1.166 as τ* increases, and at the largest value the</w:t>
      </w:r>
      <w:r>
        <w:t xml:space="preserve"> </w:t>
      </w:r>
      <w:r>
        <w:t xml:space="preserve">temperature</w:t>
      </w:r>
      <w:r>
        <w:t xml:space="preserve"> </w:t>
      </w:r>
      <w:r>
        <w:rPr>
          <w:b/>
          <w:bCs/>
        </w:rPr>
        <w:t xml:space="preserve">overshoots</w:t>
      </w:r>
      <w:r>
        <w:t xml:space="preserve"> </w:t>
      </w:r>
      <w:r>
        <w:t xml:space="preserve">even the inner-surface value — reaching 1.166 at</w:t>
      </w:r>
      <w:r>
        <w:t xml:space="preserve"> </w:t>
      </w:r>
      <w:r>
        <w:t xml:space="preserve">τ* = 0.44 — a purely hyperbolic phenomenon impossible in the parabolic Fourier</w:t>
      </w:r>
      <w:r>
        <w:t xml:space="preserve"> </w:t>
      </w:r>
      <w:r>
        <w:t xml:space="preserve">theory. At the mild reference value τ* = 0.15 the overshoot is still small (0.962),</w:t>
      </w:r>
      <w:r>
        <w:t xml:space="preserve"> </w:t>
      </w:r>
      <w:r>
        <w:t xml:space="preserve">which is why the reference histories of the other studies show only a gentle peak;</w:t>
      </w:r>
      <w:r>
        <w:t xml:space="preserve"> </w:t>
      </w:r>
      <w:r>
        <w:t xml:space="preserve">the wave signature becomes dominant only as the relaxation time is increased. The</w:t>
      </w:r>
      <w:r>
        <w:t xml:space="preserve"> </w:t>
      </w:r>
      <w:r>
        <w:t xml:space="preserve">relaxation time thus controls both the wave arrival and the overshoot amplitude,</w:t>
      </w:r>
      <w:r>
        <w:t xml:space="preserve"> </w:t>
      </w:r>
      <w:r>
        <w:t xml:space="preserve">and its clear signature in the temperature histories is the central argument for</w:t>
      </w:r>
      <w:r>
        <w:t xml:space="preserve"> </w:t>
      </w:r>
      <w:r>
        <w:t xml:space="preserve">employing generalized thermoelasticity in short-time analyses [3].</w:t>
      </w:r>
    </w:p>
    <w:bookmarkEnd w:id="60"/>
    <w:bookmarkStart w:id="64" w:name="effect-of-the-end-supports"/>
    <w:p>
      <w:pPr>
        <w:pStyle w:val="Heading2"/>
      </w:pPr>
      <w:r>
        <w:t xml:space="preserve">4-10. Effect of the end supports</w:t>
      </w:r>
    </w:p>
    <w:p>
      <w:pPr>
        <w:pStyle w:val="FirstParagraph"/>
      </w:pPr>
      <w:r>
        <w:rPr>
          <w:b/>
          <w:bCs/>
        </w:rPr>
        <w:t xml:space="preserve">4-14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14: Effect of the end supports — simply supported (S-S), mixed (S-C) and clamped (C-C) [R_o/R_i=1.5, L=2.1 m, N_L=7, W_GPL=0.3%, e_m3=0.8604, τ*=0.15, P_i=50 MPa]" title="" id="62" name="Picture"/>
            <a:graphic>
              <a:graphicData uri="http://schemas.openxmlformats.org/drawingml/2006/picture">
                <pic:pic>
                  <pic:nvPicPr>
                    <pic:cNvPr descr="figures_ch4_bw/F_end_BC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4-14: Effect of the end supports — simply supported (S-S), mixed (S-C) and clamped (C-C) [R_o/R_i=1.5, L=2.1 m, N_L=7, W_GPL=0.3%, e_m3=0.8604, τ*=0.15, P_i=50 MPa]</w:t>
      </w:r>
    </w:p>
    <w:p>
      <w:pPr>
        <w:pStyle w:val="BodyText"/>
      </w:pPr>
      <w:r>
        <w:t xml:space="preserve">The effect of the end supports is examined for three cases: simply supported at</w:t>
      </w:r>
      <w:r>
        <w:t xml:space="preserve"> </w:t>
      </w:r>
      <w:r>
        <w:t xml:space="preserve">both ends (S-S), one end simply supported and the other clamped (S-C), and clamped</w:t>
      </w:r>
      <w:r>
        <w:t xml:space="preserve"> </w:t>
      </w:r>
      <w:r>
        <w:t xml:space="preserve">at both ends (C-C). As shown in Figure 4-14, the temperature field is nearly</w:t>
      </w:r>
      <w:r>
        <w:t xml:space="preserve"> </w:t>
      </w:r>
      <w:r>
        <w:t xml:space="preserve">independent of the support type, the peak mid-point temperature staying in the</w:t>
      </w:r>
      <w:r>
        <w:t xml:space="preserve"> </w:t>
      </w:r>
      <w:r>
        <w:t xml:space="preserve">narrow band 0.926 to 0.929, since the mechanical support does not directly alter</w:t>
      </w:r>
      <w:r>
        <w:t xml:space="preserve"> </w:t>
      </w:r>
      <w:r>
        <w:t xml:space="preserve">the thermal problem.</w:t>
      </w:r>
    </w:p>
    <w:p>
      <w:pPr>
        <w:pStyle w:val="BodyText"/>
      </w:pPr>
      <w:r>
        <w:t xml:space="preserve">The mechanical response depends strongly on the support. Clamping the ends adds an</w:t>
      </w:r>
      <w:r>
        <w:t xml:space="preserve"> </w:t>
      </w:r>
      <w:r>
        <w:t xml:space="preserve">axial constraint that reduces the mid-length hoop tension: the dimensionless</w:t>
      </w:r>
      <w:r>
        <w:t xml:space="preserve"> </w:t>
      </w:r>
      <w:r>
        <w:t xml:space="preserve">inner-surface hoop stress falls from 1.526 for S-S through 1.068 for the mixed</w:t>
      </w:r>
      <w:r>
        <w:t xml:space="preserve"> </w:t>
      </w:r>
      <w:r>
        <w:t xml:space="preserve">S-C case to 0.424 for C-C, and the peak hoop stress from 2.112 to 1.803 and 1.535.</w:t>
      </w:r>
      <w:r>
        <w:t xml:space="preserve"> </w:t>
      </w:r>
      <w:r>
        <w:t xml:space="preserve">The mixed case lies correctly between the two limiting cases in every quantity,</w:t>
      </w:r>
      <w:r>
        <w:t xml:space="preserve"> </w:t>
      </w:r>
      <w:r>
        <w:t xml:space="preserve">confirming the expected intermediate behavior. The peak radial displacement is</w:t>
      </w:r>
      <w:r>
        <w:t xml:space="preserve"> </w:t>
      </w:r>
      <w:r>
        <w:t xml:space="preserve">less sensitive, changing only from 9.10 (S-S) to 8.27 (C-C), because at the</w:t>
      </w:r>
      <w:r>
        <w:t xml:space="preserve"> </w:t>
      </w:r>
      <w:r>
        <w:t xml:space="preserve">mid-length section of this relatively long cylinder the end constraints are</w:t>
      </w:r>
      <w:r>
        <w:t xml:space="preserve"> </w:t>
      </w:r>
      <w:r>
        <w:t xml:space="preserve">partly screened; the disturbances caused by either support decay within roughly</w:t>
      </w:r>
      <w:r>
        <w:t xml:space="preserve"> </w:t>
      </w:r>
      <w:r>
        <w:t xml:space="preserve">one wall thickness of the ends, which justifies reporting mid-length quantities as</w:t>
      </w:r>
      <w:r>
        <w:t xml:space="preserve"> </w:t>
      </w:r>
      <w:r>
        <w:t xml:space="preserve">the characteristic response of the structure.</w:t>
      </w:r>
    </w:p>
    <w:bookmarkEnd w:id="64"/>
    <w:bookmarkStart w:id="68" w:name="effect-of-the-internal-pressure"/>
    <w:p>
      <w:pPr>
        <w:pStyle w:val="Heading2"/>
      </w:pPr>
      <w:r>
        <w:t xml:space="preserve">4-11. Effect of the internal pressure</w:t>
      </w:r>
    </w:p>
    <w:p>
      <w:pPr>
        <w:pStyle w:val="FirstParagraph"/>
      </w:pPr>
      <w:r>
        <w:t xml:space="preserve">The effect of the internal pressure is examined with a sweep at 0, 10, 50</w:t>
      </w:r>
      <w:r>
        <w:t xml:space="preserve"> </w:t>
      </w:r>
      <w:r>
        <w:t xml:space="preserve">(reference) and 100 MPa, covering low to very high pressures. As shown in Figure 4-15, the temperature field is practically independent of the internal pressure,</w:t>
      </w:r>
      <w:r>
        <w:t xml:space="preserve"> </w:t>
      </w:r>
      <w:r>
        <w:t xml:space="preserve">because thermal and mechanical loading are linked only through the weak coupling</w:t>
      </w:r>
      <w:r>
        <w:t xml:space="preserve"> </w:t>
      </w:r>
      <w:r>
        <w:t xml:space="preserve">term of the energy equation, and pressure is not a direct driver of temperature.</w:t>
      </w:r>
    </w:p>
    <w:p>
      <w:pPr>
        <w:pStyle w:val="BodyText"/>
      </w:pPr>
      <w:r>
        <w:rPr>
          <w:b/>
          <w:bCs/>
        </w:rPr>
        <w:t xml:space="preserve">4-15</w:t>
      </w:r>
    </w:p>
    <w:p>
      <w:pPr>
        <w:pStyle w:val="CaptionedFigure"/>
      </w:pPr>
      <w:r>
        <w:drawing>
          <wp:inline>
            <wp:extent cx="5334000" cy="3297867"/>
            <wp:effectExtent b="0" l="0" r="0" t="0"/>
            <wp:docPr descr="Figure 4-15: Effect of the internal pressure P_i = 0 / 10 / 50 / 100 MPa [R_o/R_i=1.5, L=2.1 m, N_L=7, W_GPL=0.3%, e_m3=0.8604, τ*=0.15, simply supported]" title="" id="66" name="Picture"/>
            <a:graphic>
              <a:graphicData uri="http://schemas.openxmlformats.org/drawingml/2006/picture">
                <pic:pic>
                  <pic:nvPicPr>
                    <pic:cNvPr descr="figures_ch4_bw/G_pressure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7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4-15: Effect of the internal pressure P_i = 0 / 10 / 50 / 100 MPa [R_o/R_i=1.5, L=2.1 m, N_L=7, W_GPL=0.3%, e_m3=0.8604, τ*=0.15, simply supported]</w:t>
      </w:r>
    </w:p>
    <w:p>
      <w:pPr>
        <w:pStyle w:val="BodyText"/>
      </w:pPr>
      <w:r>
        <w:t xml:space="preserve">By contrast, the mechanical response grows linearly with pressure. The</w:t>
      </w:r>
      <w:r>
        <w:t xml:space="preserve"> </w:t>
      </w:r>
      <w:r>
        <w:t xml:space="preserve">inner-surface hoop stress rises from −0.387 with no pressure (a purely thermal,</w:t>
      </w:r>
      <w:r>
        <w:t xml:space="preserve"> </w:t>
      </w:r>
      <w:r>
        <w:t xml:space="preserve">mildly compressive state) through −0.004 and 1.526 to 3.439 at 100 MPa, an</w:t>
      </w:r>
      <w:r>
        <w:t xml:space="preserve"> </w:t>
      </w:r>
      <w:r>
        <w:t xml:space="preserve">increment of about 0.0383 per megapascal; and the peak radial displacement rises</w:t>
      </w:r>
      <w:r>
        <w:t xml:space="preserve"> </w:t>
      </w:r>
      <w:r>
        <w:t xml:space="preserve">from 3.75 through 4.82 and 9.10 to 14.44, an increment of about 0.107 per</w:t>
      </w:r>
      <w:r>
        <w:t xml:space="preserve"> </w:t>
      </w:r>
      <w:r>
        <w:t xml:space="preserve">megapascal. This perfect linearity reflects the linear nature of the thermoelastic</w:t>
      </w:r>
      <w:r>
        <w:t xml:space="preserve"> </w:t>
      </w:r>
      <w:r>
        <w:t xml:space="preserve">model, and even at 100 MPa the solution remains smooth and convergent, with no</w:t>
      </w:r>
      <w:r>
        <w:t xml:space="preserve"> </w:t>
      </w:r>
      <w:r>
        <w:t xml:space="preserve">discontinuity, because physical rupture (material failure or separation) is not</w:t>
      </w:r>
      <w:r>
        <w:t xml:space="preserve"> </w:t>
      </w:r>
      <w:r>
        <w:t xml:space="preserve">included in the present linear model; assessing that would require a damage or</w:t>
      </w:r>
      <w:r>
        <w:t xml:space="preserve"> </w:t>
      </w:r>
      <w:r>
        <w:t xml:space="preserve">failure model. Unlike the near-negligible megapascal-level pressures of much of</w:t>
      </w:r>
      <w:r>
        <w:t xml:space="preserve"> </w:t>
      </w:r>
      <w:r>
        <w:t xml:space="preserve">the literature, at the 50 MPa reference the pressure is a genuine first-order</w:t>
      </w:r>
      <w:r>
        <w:t xml:space="preserve"> </w:t>
      </w:r>
      <w:r>
        <w:t xml:space="preserve">contributor to the stress and displacement, while the temperature field remains</w:t>
      </w:r>
      <w:r>
        <w:t xml:space="preserve"> </w:t>
      </w:r>
      <w:r>
        <w:t xml:space="preserve">thermally governed. The dimensionless radial-stress profile runs from the negative</w:t>
      </w:r>
      <w:r>
        <w:t xml:space="preserve"> </w:t>
      </w:r>
      <w:r>
        <w:t xml:space="preserve">of the applied pressure at the inner surface to zero at the outer surface,</w:t>
      </w:r>
      <w:r>
        <w:t xml:space="preserve"> </w:t>
      </w:r>
      <w:r>
        <w:t xml:space="preserve">consistent with the loading boundary condition.</w:t>
      </w:r>
    </w:p>
    <w:bookmarkEnd w:id="68"/>
    <w:bookmarkStart w:id="72" w:name="X85283b7d337430b612aa9d28b66a5c2b37b0441"/>
    <w:p>
      <w:pPr>
        <w:pStyle w:val="Heading2"/>
      </w:pPr>
      <w:r>
        <w:t xml:space="preserve">4-12. Effect of the cylinder length and the long-cylinder limit</w:t>
      </w:r>
    </w:p>
    <w:p>
      <w:pPr>
        <w:pStyle w:val="FirstParagraph"/>
      </w:pPr>
      <w:r>
        <w:rPr>
          <w:b/>
          <w:bCs/>
        </w:rPr>
        <w:t xml:space="preserve">4-16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16: Effect of the cylinder length L = 1 / 2.1 / 5 / 10 m [R_i=1, R_o=1.5, N_L=7, W_GPL=0.3%, e_m3=0.8604, τ*=0.15, P_i=50 MPa, simply supported]" title="" id="70" name="Picture"/>
            <a:graphic>
              <a:graphicData uri="http://schemas.openxmlformats.org/drawingml/2006/picture">
                <pic:pic>
                  <pic:nvPicPr>
                    <pic:cNvPr descr="figures_ch4_bw/Q_length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4-16: Effect of the cylinder length L = 1 / 2.1 / 5 / 10 m [R_i=1, R_o=1.5, N_L=7, W_GPL=0.3%, e_m3=0.8604, τ*=0.15, P_i=50 MPa, simply supported]</w:t>
      </w:r>
    </w:p>
    <w:p>
      <w:pPr>
        <w:pStyle w:val="BodyText"/>
      </w:pPr>
      <w:r>
        <w:t xml:space="preserve">To examine the limiting behavior of a long cylinder, the length is increased from</w:t>
      </w:r>
      <w:r>
        <w:t xml:space="preserve"> </w:t>
      </w:r>
      <w:r>
        <w:t xml:space="preserve">1 m through the reference 2.1 m to 5 and 10 m. As shown in Figure 4-16, the peak</w:t>
      </w:r>
      <w:r>
        <w:t xml:space="preserve"> </w:t>
      </w:r>
      <w:r>
        <w:t xml:space="preserve">mid-point temperature is length-independent, remaining at 0.926 to 0.927. The</w:t>
      </w:r>
      <w:r>
        <w:t xml:space="preserve"> </w:t>
      </w:r>
      <w:r>
        <w:t xml:space="preserve">mechanical response, however, tends to a limit as the length grows. The very short</w:t>
      </w:r>
      <w:r>
        <w:t xml:space="preserve"> </w:t>
      </w:r>
      <w:r>
        <w:t xml:space="preserve">cylinder (L = 1 m) is dominated by its two close end supports: its mid-length</w:t>
      </w:r>
      <w:r>
        <w:t xml:space="preserve"> </w:t>
      </w:r>
      <w:r>
        <w:t xml:space="preserve">inner-surface hoop stress is compressive (−1.477) and its displacement is small</w:t>
      </w:r>
      <w:r>
        <w:t xml:space="preserve"> </w:t>
      </w:r>
      <w:r>
        <w:t xml:space="preserve">(3.42). As the length increases the mid-length section moves away from the end</w:t>
      </w:r>
      <w:r>
        <w:t xml:space="preserve"> </w:t>
      </w:r>
      <w:r>
        <w:t xml:space="preserve">constraints, the inner hoop stress becomes tensile and approaches an asymptote of</w:t>
      </w:r>
      <w:r>
        <w:t xml:space="preserve"> </w:t>
      </w:r>
      <w:r>
        <w:t xml:space="preserve">about 2.0 to 2.1 (1.526, 2.139 and 2.031 for 2.1, 5 and 10 m), and the peak</w:t>
      </w:r>
      <w:r>
        <w:t xml:space="preserve"> </w:t>
      </w:r>
      <w:r>
        <w:t xml:space="preserve">displacement settles toward about 8.4 (9.10, 8.57 and 8.37). The mid-length</w:t>
      </w:r>
      <w:r>
        <w:t xml:space="preserve"> </w:t>
      </w:r>
      <w:r>
        <w:t xml:space="preserve">response thus converges to the infinite-length (plane-strain-like) limit in which</w:t>
      </w:r>
      <w:r>
        <w:t xml:space="preserve"> </w:t>
      </w:r>
      <w:r>
        <w:t xml:space="preserve">the mechanical effects of the two ends are not felt.</w:t>
      </w:r>
    </w:p>
    <w:bookmarkEnd w:id="72"/>
    <w:bookmarkStart w:id="79" w:name="X81eac57fafad65e87a08e7444e513955d528acd"/>
    <w:p>
      <w:pPr>
        <w:pStyle w:val="Heading2"/>
      </w:pPr>
      <w:r>
        <w:t xml:space="preserve">4-13. Interaction of the GPL and porosity distribution patterns</w:t>
      </w:r>
    </w:p>
    <w:p>
      <w:pPr>
        <w:pStyle w:val="FirstParagraph"/>
      </w:pPr>
      <w:r>
        <w:t xml:space="preserve">The individual studies showed pattern V for the GPLs and pattern A for the</w:t>
      </w:r>
      <w:r>
        <w:t xml:space="preserve"> </w:t>
      </w:r>
      <w:r>
        <w:t xml:space="preserve">porosity to be the most favorable thermally. This section examines the full</w:t>
      </w:r>
      <w:r>
        <w:t xml:space="preserve"> </w:t>
      </w:r>
      <w:r>
        <w:t xml:space="preserve">interaction by computing all twenty-five combinations of the five GPL patterns</w:t>
      </w:r>
      <w:r>
        <w:t xml:space="preserve"> </w:t>
      </w:r>
      <w:r>
        <w:t xml:space="preserve">with the five porosity patterns, each combination labeled (for example X-GPL +</w:t>
      </w:r>
      <w:r>
        <w:t xml:space="preserve"> </w:t>
      </w:r>
      <w:r>
        <w:t xml:space="preserve">V-Por). The dimensionless outer-surface temperature and the hoop-stress profile</w:t>
      </w:r>
      <w:r>
        <w:t xml:space="preserve"> </w:t>
      </w:r>
      <w:r>
        <w:t xml:space="preserve">of every combination are shown as a 5×5 matrix in Figure 4-17.</w:t>
      </w:r>
    </w:p>
    <w:p>
      <w:pPr>
        <w:pStyle w:val="BodyText"/>
      </w:pPr>
      <w:r>
        <w:rPr>
          <w:b/>
          <w:bCs/>
        </w:rPr>
        <w:t xml:space="preserve">4-17</w:t>
      </w:r>
    </w:p>
    <w:p>
      <w:pPr>
        <w:pStyle w:val="CaptionedFigure"/>
      </w:pPr>
      <w:r>
        <w:drawing>
          <wp:inline>
            <wp:extent cx="5334000" cy="2695073"/>
            <wp:effectExtent b="0" l="0" r="0" t="0"/>
            <wp:docPr descr="Figure 4-17: Full 25-case GPL × porosity matrix — through-wall dimensionless temperature T*(ξ) for every pattern pair (rows: GPL pattern; columns: porosity pattern) [reference: W_GPL=0.3%, e_m3=0.8604, τ*=0.15, P_i=50 MPa, simply supported]" title="" id="74" name="Picture"/>
            <a:graphic>
              <a:graphicData uri="http://schemas.openxmlformats.org/drawingml/2006/picture">
                <pic:pic>
                  <pic:nvPicPr>
                    <pic:cNvPr descr="figures_ch4_bw/matrix25_Tstar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5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4-17: Full 25-case GPL × porosity matrix — through-wall dimensionless temperature T*(ξ) for every pattern pair (rows: GPL pattern; columns: porosity pattern) [reference: W_GPL=0.3%, e_m3=0.8604, τ*=0.15, P_i=50 MPa, simply supported]</w:t>
      </w:r>
    </w:p>
    <w:p>
      <w:pPr>
        <w:pStyle w:val="BodyText"/>
      </w:pPr>
      <w:r>
        <w:t xml:space="preserve">The first key observation is that the porosity pattern A acts as a</w:t>
      </w:r>
      <w:r>
        <w:t xml:space="preserve"> </w:t>
      </w:r>
      <w:r>
        <w:rPr>
          <w:b/>
          <w:bCs/>
        </w:rPr>
        <w:t xml:space="preserve">universal</w:t>
      </w:r>
      <w:r>
        <w:rPr>
          <w:b/>
          <w:bCs/>
        </w:rPr>
        <w:t xml:space="preserve"> </w:t>
      </w:r>
      <w:r>
        <w:rPr>
          <w:b/>
          <w:bCs/>
        </w:rPr>
        <w:t xml:space="preserve">thermal barrier</w:t>
      </w:r>
      <w:r>
        <w:t xml:space="preserve">: regardless of the GPL pattern, concentrating the pores at the</w:t>
      </w:r>
      <w:r>
        <w:t xml:space="preserve"> </w:t>
      </w:r>
      <w:r>
        <w:t xml:space="preserve">outer surface gives the lowest outer-surface temperature, the values along that</w:t>
      </w:r>
      <w:r>
        <w:t xml:space="preserve"> </w:t>
      </w:r>
      <w:r>
        <w:t xml:space="preserve">column being 0.107, 0.064, 0.116, 0.034 and 0.134. The best combination of all,</w:t>
      </w:r>
      <w:r>
        <w:t xml:space="preserve"> </w:t>
      </w:r>
      <w:r>
        <w:t xml:space="preserve">GPL-V together with porosity-A, holds the outer-surface temperature at 0.034 — a</w:t>
      </w:r>
      <w:r>
        <w:t xml:space="preserve"> </w:t>
      </w:r>
      <w:r>
        <w:t xml:space="preserve">roughly twenty-six-fold reduction with respect to the reference (0.883) — while</w:t>
      </w:r>
      <w:r>
        <w:t xml:space="preserve"> </w:t>
      </w:r>
      <w:r>
        <w:t xml:space="preserve">its stress state remains benign (the inner hoop stress is a small compressive</w:t>
      </w:r>
      <w:r>
        <w:t xml:space="preserve"> </w:t>
      </w:r>
      <w:r>
        <w:t xml:space="preserve">−0.378). This confirms the design recommendation of the thesis for thermal</w:t>
      </w:r>
      <w:r>
        <w:t xml:space="preserve"> </w:t>
      </w:r>
      <w:r>
        <w:t xml:space="preserve">protection.</w:t>
      </w:r>
    </w:p>
    <w:p>
      <w:pPr>
        <w:pStyle w:val="BodyText"/>
      </w:pPr>
      <w:r>
        <w:rPr>
          <w:b/>
          <w:bCs/>
        </w:rPr>
        <w:t xml:space="preserve">4-18</w:t>
      </w:r>
    </w:p>
    <w:p>
      <w:pPr>
        <w:pStyle w:val="CaptionedFigure"/>
      </w:pPr>
      <w:r>
        <w:drawing>
          <wp:inline>
            <wp:extent cx="5334000" cy="2695073"/>
            <wp:effectExtent b="0" l="0" r="0" t="0"/>
            <wp:docPr descr="Figure 4-18: Full 25-case GPL × porosity matrix — hoop-stress profile Σθθ(ξ) for every pattern pair (rows: GPL pattern; columns: porosity pattern) [reference: W_GPL=0.3%, e_m3=0.8604, τ*=0.15, P_i=50 MPa, simply supported]" title="" id="77" name="Picture"/>
            <a:graphic>
              <a:graphicData uri="http://schemas.openxmlformats.org/drawingml/2006/picture">
                <pic:pic>
                  <pic:nvPicPr>
                    <pic:cNvPr descr="figures_ch4_bw/matrix25_Sigma_thth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5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4-18: Full 25-case GPL × porosity matrix — hoop-stress profile Σθθ(ξ) for every pattern pair (rows: GPL pattern; columns: porosity pattern) [reference: W_GPL=0.3%, e_m3=0.8604, τ*=0.15, P_i=50 MPa, simply supported]</w:t>
      </w:r>
    </w:p>
    <w:p>
      <w:pPr>
        <w:pStyle w:val="BodyText"/>
      </w:pPr>
      <w:r>
        <w:t xml:space="preserve">The second observation is the mirror-pattern interaction. Patterns V and A are</w:t>
      </w:r>
      <w:r>
        <w:t xml:space="preserve"> </w:t>
      </w:r>
      <w:r>
        <w:t xml:space="preserve">geometric mirror images (inner-surface versus outer-surface concentration). When</w:t>
      </w:r>
      <w:r>
        <w:t xml:space="preserve"> </w:t>
      </w:r>
      <w:r>
        <w:t xml:space="preserve">GPL-V (conductive at the inner surface) is combined with porosity-A (insulating at</w:t>
      </w:r>
      <w:r>
        <w:t xml:space="preserve"> </w:t>
      </w:r>
      <w:r>
        <w:t xml:space="preserve">the outer surface) the two mechanisms act synergetically and the outer-surface</w:t>
      </w:r>
      <w:r>
        <w:t xml:space="preserve"> </w:t>
      </w:r>
      <w:r>
        <w:t xml:space="preserve">temperature reaches its minimum; but when the same GPL-V is combined with</w:t>
      </w:r>
      <w:r>
        <w:t xml:space="preserve"> </w:t>
      </w:r>
      <w:r>
        <w:t xml:space="preserve">porosity-V (both concentrated at the inner surface) the two effects weaken each</w:t>
      </w:r>
      <w:r>
        <w:t xml:space="preserve"> </w:t>
      </w:r>
      <w:r>
        <w:t xml:space="preserve">other and the outer-surface temperature rises to 0.692. At the other extreme, the</w:t>
      </w:r>
      <w:r>
        <w:t xml:space="preserve"> </w:t>
      </w:r>
      <w:r>
        <w:t xml:space="preserve">worst cases belong to GPL-A (conductive at the outer surface) combined with the</w:t>
      </w:r>
      <w:r>
        <w:t xml:space="preserve"> </w:t>
      </w:r>
      <w:r>
        <w:t xml:space="preserve">symmetric porosities, which raise the outer-surface temperature as high as 0.896.</w:t>
      </w:r>
      <w:r>
        <w:t xml:space="preserve"> </w:t>
      </w:r>
      <w:r>
        <w:t xml:space="preserve">The highest hoop stresses of the matrix appear where a stiff GPL pattern meets an</w:t>
      </w:r>
      <w:r>
        <w:t xml:space="preserve"> </w:t>
      </w:r>
      <w:r>
        <w:t xml:space="preserve">inner-concentrated porosity — for example X-GPL + V-Por, with a peak hoop stress</w:t>
      </w:r>
      <w:r>
        <w:t xml:space="preserve"> </w:t>
      </w:r>
      <w:r>
        <w:t xml:space="preserve">of 4.20 — so the matrix also maps where stress, not temperature, becomes the</w:t>
      </w:r>
      <w:r>
        <w:t xml:space="preserve"> </w:t>
      </w:r>
      <w:r>
        <w:t xml:space="preserve">limiting concern. Thus not only the individual pattern but also the alignment or</w:t>
      </w:r>
      <w:r>
        <w:t xml:space="preserve"> </w:t>
      </w:r>
      <w:r>
        <w:t xml:space="preserve">opposition of the two patterns is decisive; this full interaction map has no</w:t>
      </w:r>
      <w:r>
        <w:t xml:space="preserve"> </w:t>
      </w:r>
      <w:r>
        <w:t xml:space="preserve">counterpart in comparable previous research [6] and is one of the contributions of</w:t>
      </w:r>
      <w:r>
        <w:t xml:space="preserve"> </w:t>
      </w:r>
      <w:r>
        <w:t xml:space="preserve">this work.</w:t>
      </w:r>
    </w:p>
    <w:bookmarkEnd w:id="79"/>
    <w:bookmarkStart w:id="83" w:name="effect-of-the-coupling-of-the-equations"/>
    <w:p>
      <w:pPr>
        <w:pStyle w:val="Heading2"/>
      </w:pPr>
      <w:r>
        <w:t xml:space="preserve">4-14. Effect of the coupling of the equations</w:t>
      </w:r>
    </w:p>
    <w:p>
      <w:pPr>
        <w:pStyle w:val="FirstParagraph"/>
      </w:pPr>
      <w:r>
        <w:rPr>
          <w:b/>
          <w:bCs/>
        </w:rPr>
        <w:t xml:space="preserve">4-19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19: Effect of thermo-mechanical coupling — fully coupled versus uncoupled energy equation [R_o/R_i=1.5, L=2.1 m, N_L=7, W_GPL=0.3%, e_m3=0.8604, τ*=0.15, P_i=50 MPa, simply supported]" title="" id="81" name="Picture"/>
            <a:graphic>
              <a:graphicData uri="http://schemas.openxmlformats.org/drawingml/2006/picture">
                <pic:pic>
                  <pic:nvPicPr>
                    <pic:cNvPr descr="figures_ch4_bw/I_coupling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4-19: Effect of thermo-mechanical coupling — fully coupled versus uncoupled energy equation [R_o/R_i=1.5, L=2.1 m, N_L=7, W_GPL=0.3%, e_m3=0.8604, τ*=0.15, P_i=50 MPa, simply supported]</w:t>
      </w:r>
    </w:p>
    <w:p>
      <w:pPr>
        <w:pStyle w:val="BodyText"/>
      </w:pPr>
      <w:r>
        <w:t xml:space="preserve">Figure 4-19 compares the fully coupled model with the uncoupled one (the</w:t>
      </w:r>
      <w:r>
        <w:t xml:space="preserve"> </w:t>
      </w:r>
      <w:r>
        <w:t xml:space="preserve">dilatation-rate term removed from the energy equation). At the reference</w:t>
      </w:r>
      <w:r>
        <w:t xml:space="preserve"> </w:t>
      </w:r>
      <w:r>
        <w:t xml:space="preserve">conditions the uncoupled model overestimates the peak mid-point temperature by</w:t>
      </w:r>
      <w:r>
        <w:t xml:space="preserve"> </w:t>
      </w:r>
      <w:r>
        <w:t xml:space="preserve">about 1.2 % (0.937 versus 0.926) and the outer-surface temperature by a similar</w:t>
      </w:r>
      <w:r>
        <w:t xml:space="preserve"> </w:t>
      </w:r>
      <w:r>
        <w:t xml:space="preserve">margin. The mechanism is that in the coupled model part of the thermal energy is</w:t>
      </w:r>
      <w:r>
        <w:t xml:space="preserve"> </w:t>
      </w:r>
      <w:r>
        <w:t xml:space="preserve">continuously converted into mechanical work — a thermoelastic damping of the</w:t>
      </w:r>
      <w:r>
        <w:t xml:space="preserve"> </w:t>
      </w:r>
      <w:r>
        <w:t xml:space="preserve">thermal wave — and the difference between the two models is largest exactly at the</w:t>
      </w:r>
      <w:r>
        <w:t xml:space="preserve"> </w:t>
      </w:r>
      <w:r>
        <w:t xml:space="preserve">wave fronts. The effect is modest at the mild reference relaxation time τ* = 0.15</w:t>
      </w:r>
      <w:r>
        <w:t xml:space="preserve"> </w:t>
      </w:r>
      <w:r>
        <w:t xml:space="preserve">but grows with the wave strength; it demonstrates that the fully coupled system</w:t>
      </w:r>
      <w:r>
        <w:t xml:space="preserve"> </w:t>
      </w:r>
      <w:r>
        <w:t xml:space="preserve">should be solved when the wave signature matters, despite its higher cost.</w:t>
      </w:r>
    </w:p>
    <w:bookmarkEnd w:id="83"/>
    <w:bookmarkStart w:id="87" w:name="Xb006e1994140170e308a706d86645cac631d9cb"/>
    <w:p>
      <w:pPr>
        <w:pStyle w:val="Heading2"/>
      </w:pPr>
      <w:r>
        <w:t xml:space="preserve">4-15. Effect of the outer-surface convection coefficient</w:t>
      </w:r>
    </w:p>
    <w:p>
      <w:pPr>
        <w:pStyle w:val="FirstParagraph"/>
      </w:pPr>
      <w:r>
        <w:rPr>
          <w:b/>
          <w:bCs/>
        </w:rPr>
        <w:t xml:space="preserve">4-20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20: Effect of the outer-surface convection coefficient h_c = 10 / 100 / 1000 W/m²K [R_o/R_i=1.5, L=2.1 m, N_L=7, W_GPL=0.3%, e_m3=0.8604, τ*=0.15, P_i=50 MPa, simply supported]" title="" id="85" name="Picture"/>
            <a:graphic>
              <a:graphicData uri="http://schemas.openxmlformats.org/drawingml/2006/picture">
                <pic:pic>
                  <pic:nvPicPr>
                    <pic:cNvPr descr="figures_ch4_bw/J_convection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4-20: Effect of the outer-surface convection coefficient h_c = 10 / 100 / 1000 W/m²K [R_o/R_i=1.5, L=2.1 m, N_L=7, W_GPL=0.3%, e_m3=0.8604, τ*=0.15, P_i=50 MPa, simply supported]</w:t>
      </w:r>
    </w:p>
    <w:p>
      <w:pPr>
        <w:pStyle w:val="BodyText"/>
      </w:pPr>
      <w:r>
        <w:t xml:space="preserve">Figure 4-20 examines the outer-surface convection coefficient for h_c = 10, 100</w:t>
      </w:r>
      <w:r>
        <w:t xml:space="preserve"> </w:t>
      </w:r>
      <w:r>
        <w:t xml:space="preserve">and 1000 W/m²K, corresponding to Biot numbers Bi = h_c h/k̄ ≈ 0.07 to 6.6. As h_c</w:t>
      </w:r>
      <w:r>
        <w:t xml:space="preserve"> </w:t>
      </w:r>
      <w:r>
        <w:t xml:space="preserve">increases, the outer surface turns from nearly adiabatic into an effective heat</w:t>
      </w:r>
      <w:r>
        <w:t xml:space="preserve"> </w:t>
      </w:r>
      <w:r>
        <w:t xml:space="preserve">sink: the outer-surface temperature drops from 0.883 through 0.591 to 0.107, the</w:t>
      </w:r>
      <w:r>
        <w:t xml:space="preserve"> </w:t>
      </w:r>
      <w:r>
        <w:t xml:space="preserve">mid-point peak from 0.926 through 0.802 to 0.715, and the inner-surface hoop</w:t>
      </w:r>
      <w:r>
        <w:t xml:space="preserve"> </w:t>
      </w:r>
      <w:r>
        <w:t xml:space="preserve">stress relaxes from 1.526 through 1.176 to 0.540 — because what sets the thermal</w:t>
      </w:r>
      <w:r>
        <w:t xml:space="preserve"> </w:t>
      </w:r>
      <w:r>
        <w:t xml:space="preserve">stress is the through-wall temperature difference, not the absolute temperature.</w:t>
      </w:r>
      <w:r>
        <w:t xml:space="preserve"> </w:t>
      </w:r>
      <w:r>
        <w:t xml:space="preserve">The response is nearly insensitive to convection at the smallest coefficient and</w:t>
      </w:r>
      <w:r>
        <w:t xml:space="preserve"> </w:t>
      </w:r>
      <w:r>
        <w:t xml:space="preserve">strongly convection-controlled at the largest, two regimes that must be</w:t>
      </w:r>
      <w:r>
        <w:t xml:space="preserve"> </w:t>
      </w:r>
      <w:r>
        <w:t xml:space="preserve">distinguished in design.</w:t>
      </w:r>
    </w:p>
    <w:bookmarkEnd w:id="87"/>
    <w:bookmarkStart w:id="91" w:name="effect-of-the-wall-thickness"/>
    <w:p>
      <w:pPr>
        <w:pStyle w:val="Heading2"/>
      </w:pPr>
      <w:r>
        <w:t xml:space="preserve">4-16. Effect of the wall thickness</w:t>
      </w:r>
    </w:p>
    <w:p>
      <w:pPr>
        <w:pStyle w:val="FirstParagraph"/>
      </w:pPr>
      <w:r>
        <w:rPr>
          <w:b/>
          <w:bCs/>
        </w:rPr>
        <w:t xml:space="preserve">4-21</w:t>
      </w:r>
    </w:p>
    <w:p>
      <w:pPr>
        <w:pStyle w:val="CaptionedFigure"/>
      </w:pPr>
      <w:r>
        <w:drawing>
          <wp:inline>
            <wp:extent cx="5334000" cy="3297867"/>
            <wp:effectExtent b="0" l="0" r="0" t="0"/>
            <wp:docPr descr="Figure 4-21: Effect of the wall thickness, radius ratio R_o/R_i = 1.25 / 1.5 / 2.0 (inner radius fixed at 1 m) [L=2.1 m, N_L=7, W_GPL=0.3%, e_m3=0.8604, τ*=0.15, P_i=50 MPa, simply supported]" title="" id="89" name="Picture"/>
            <a:graphic>
              <a:graphicData uri="http://schemas.openxmlformats.org/drawingml/2006/picture">
                <pic:pic>
                  <pic:nvPicPr>
                    <pic:cNvPr descr="figures_ch4_bw/K_thickness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7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4-21: Effect of the wall thickness, radius ratio R_o/R_i = 1.25 / 1.5 / 2.0 (inner radius fixed at 1 m) [L=2.1 m, N_L=7, W_GPL=0.3%, e_m3=0.8604, τ*=0.15, P_i=50 MPa, simply supported]</w:t>
      </w:r>
    </w:p>
    <w:p>
      <w:pPr>
        <w:pStyle w:val="BodyText"/>
      </w:pPr>
      <w:r>
        <w:t xml:space="preserve">Figure 4-21 compares three cylinders with radius ratios R_o/R_i = 1.25, 1.5 and</w:t>
      </w:r>
      <w:r>
        <w:t xml:space="preserve"> </w:t>
      </w:r>
      <w:r>
        <w:t xml:space="preserve">2.0 (inner radius fixed at 1 m; wall thickness 0.25, 0.5 and 1.0 m); the time</w:t>
      </w:r>
      <w:r>
        <w:t xml:space="preserve"> </w:t>
      </w:r>
      <w:r>
        <w:t xml:space="preserve">scale of each is nondimensionalized with its own wall thickness. The thin wall</w:t>
      </w:r>
      <w:r>
        <w:t xml:space="preserve"> </w:t>
      </w:r>
      <w:r>
        <w:t xml:space="preserve">(ratio 1.25) is crossed quickly by the thermal wave, so its outer surface heats</w:t>
      </w:r>
      <w:r>
        <w:t xml:space="preserve"> </w:t>
      </w:r>
      <w:r>
        <w:t xml:space="preserve">fully (outer temperature 0.999), but the small thickness concentrates the thermal</w:t>
      </w:r>
      <w:r>
        <w:t xml:space="preserve"> </w:t>
      </w:r>
      <w:r>
        <w:t xml:space="preserve">strain and produces the largest mechanical response of the study — an</w:t>
      </w:r>
      <w:r>
        <w:t xml:space="preserve"> </w:t>
      </w:r>
      <w:r>
        <w:t xml:space="preserve">inner-surface hoop stress of 4.017 and a peak displacement of 26.6. The thick wall</w:t>
      </w:r>
      <w:r>
        <w:t xml:space="preserve"> </w:t>
      </w:r>
      <w:r>
        <w:t xml:space="preserve">(ratio 2.0) behaves oppositely: within the window the wave does not fully cross,</w:t>
      </w:r>
      <w:r>
        <w:t xml:space="preserve"> </w:t>
      </w:r>
      <w:r>
        <w:t xml:space="preserve">the outer region stays cooler (outer temperature 0.740), the displacement collapses</w:t>
      </w:r>
      <w:r>
        <w:t xml:space="preserve"> </w:t>
      </w:r>
      <w:r>
        <w:t xml:space="preserve">to 2.66, and the inner-surface hoop stress becomes compressive (−0.628), since the</w:t>
      </w:r>
      <w:r>
        <w:t xml:space="preserve"> </w:t>
      </w:r>
      <w:r>
        <w:t xml:space="preserve">heated inner band pushes against the cold, stiff outer mass. The wall thickness is</w:t>
      </w:r>
      <w:r>
        <w:t xml:space="preserve"> </w:t>
      </w:r>
      <w:r>
        <w:t xml:space="preserve">therefore the geometric lever that trades a small, highly stressed thin wall</w:t>
      </w:r>
      <w:r>
        <w:t xml:space="preserve"> </w:t>
      </w:r>
      <w:r>
        <w:t xml:space="preserve">against a large, mildly stressed but strongly compressive thick wall.</w:t>
      </w:r>
    </w:p>
    <w:bookmarkEnd w:id="91"/>
    <w:bookmarkStart w:id="95" w:name="response-to-a-gaussian-thermal-shock"/>
    <w:p>
      <w:pPr>
        <w:pStyle w:val="Heading2"/>
      </w:pPr>
      <w:r>
        <w:t xml:space="preserve">4-17. Response to a Gaussian thermal shock</w:t>
      </w:r>
    </w:p>
    <w:p>
      <w:pPr>
        <w:pStyle w:val="FirstParagraph"/>
      </w:pPr>
      <w:r>
        <w:rPr>
          <w:b/>
          <w:bCs/>
        </w:rPr>
        <w:t xml:space="preserve">4-22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22: Response to a Gaussian thermal shock — Lord–Shulman versus Fourier [R_o/R_i=1.5, L=2.1 m, N_L=7, W_GPL=0.3%, e_m3=0.8604, P_i=50 MPa, simply supported]" title="" id="93" name="Picture"/>
            <a:graphic>
              <a:graphicData uri="http://schemas.openxmlformats.org/drawingml/2006/picture">
                <pic:pic>
                  <pic:nvPicPr>
                    <pic:cNvPr descr="figures_ch4_bw/M_gauss_shock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4-22: Response to a Gaussian thermal shock — Lord–Shulman versus Fourier [R_o/R_i=1.5, L=2.1 m, N_L=7, W_GPL=0.3%, e_m3=0.8604, P_i=50 MPa, simply supported]</w:t>
      </w:r>
    </w:p>
    <w:p>
      <w:pPr>
        <w:pStyle w:val="BodyText"/>
      </w:pPr>
      <w:r>
        <w:t xml:space="preserve">In this study the sustained ramp is replaced by a short Gaussian pulse of the</w:t>
      </w:r>
      <w:r>
        <w:t xml:space="preserve"> </w:t>
      </w:r>
      <w:r>
        <w:t xml:space="preserve">inner-surface temperature, and the response is compared under the Lord-Shulman and</w:t>
      </w:r>
      <w:r>
        <w:t xml:space="preserve"> </w:t>
      </w:r>
      <w:r>
        <w:t xml:space="preserve">Fourier theories (Figure 4-22). The loading exposes the essential difference</w:t>
      </w:r>
      <w:r>
        <w:t xml:space="preserve"> </w:t>
      </w:r>
      <w:r>
        <w:t xml:space="preserve">between wave-like and diffusive transport: under Fourier conduction the pulse</w:t>
      </w:r>
      <w:r>
        <w:t xml:space="preserve"> </w:t>
      </w:r>
      <w:r>
        <w:t xml:space="preserve">arrives at the mid-thickness early, smeared and weak (peak 0.195 at Fo ≈ 0.18) and</w:t>
      </w:r>
      <w:r>
        <w:t xml:space="preserve"> </w:t>
      </w:r>
      <w:r>
        <w:t xml:space="preserve">has practically vanished by the end of the interval. Under the Lord-Shulman theory</w:t>
      </w:r>
      <w:r>
        <w:t xml:space="preserve"> </w:t>
      </w:r>
      <w:r>
        <w:t xml:space="preserve">the pulse travels as a coherent wave packet: it arrives later (Fo ≈ 0.31), about</w:t>
      </w:r>
      <w:r>
        <w:t xml:space="preserve"> </w:t>
      </w:r>
      <w:r>
        <w:t xml:space="preserve">two and a half times stronger (peak 0.478), and leaves persistent oscillations</w:t>
      </w:r>
      <w:r>
        <w:t xml:space="preserve"> </w:t>
      </w:r>
      <w:r>
        <w:t xml:space="preserve">behind. The Lord-Shulman solution shows a sharp</w:t>
      </w:r>
      <w:r>
        <w:t xml:space="preserve"> </w:t>
      </w:r>
      <w:r>
        <w:t xml:space="preserve">second-sound front marching through the wall — the clearest visual signature of the</w:t>
      </w:r>
      <w:r>
        <w:t xml:space="preserve"> </w:t>
      </w:r>
      <w:r>
        <w:t xml:space="preserve">finite propagation speed. Under impulsive loads the classical theory therefore</w:t>
      </w:r>
      <w:r>
        <w:t xml:space="preserve"> </w:t>
      </w:r>
      <w:r>
        <w:t xml:space="preserve">substantially underestimates the transient thermal, and hence mechanical, severity</w:t>
      </w:r>
      <w:r>
        <w:t xml:space="preserve"> </w:t>
      </w:r>
      <w:r>
        <w:t xml:space="preserve">of the shock — a strong argument in favor of the generalized theory.</w:t>
      </w:r>
    </w:p>
    <w:bookmarkEnd w:id="95"/>
    <w:bookmarkStart w:id="96" w:name="comparison-of-time-integration-methods"/>
    <w:p>
      <w:pPr>
        <w:pStyle w:val="Heading2"/>
      </w:pPr>
      <w:r>
        <w:t xml:space="preserve">4-18. Comparison of time-integration methods</w:t>
      </w:r>
    </w:p>
    <w:p>
      <w:pPr>
        <w:pStyle w:val="FirstParagraph"/>
      </w:pPr>
      <w:r>
        <w:t xml:space="preserve">To position the Newmark scheme used in this thesis, five alternative time</w:t>
      </w:r>
      <w:r>
        <w:t xml:space="preserve"> </w:t>
      </w:r>
      <w:r>
        <w:t xml:space="preserve">integrators were run on the identical benchmark problem (transient conduction with</w:t>
      </w:r>
      <w:r>
        <w:t xml:space="preserve"> </w:t>
      </w:r>
      <w:r>
        <w:t xml:space="preserve">known exact solution; error measure: maximum temperature error at t = 10 s). The</w:t>
      </w:r>
      <w:r>
        <w:t xml:space="preserve"> </w:t>
      </w:r>
      <w:r>
        <w:t xml:space="preserve">results are summarized in Table 4-7.</w:t>
      </w:r>
    </w:p>
    <w:p>
      <w:pPr>
        <w:pStyle w:val="BodyText"/>
      </w:pPr>
      <w:r>
        <w:rPr>
          <w:b/>
          <w:bCs/>
        </w:rPr>
        <w:t xml:space="preserve">Table 4-7: Comparison of time-integration methods on the same spatial system.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max error (K)</w:t>
            </w:r>
          </w:p>
        </w:tc>
        <w:tc>
          <w:tcPr/>
          <w:p>
            <w:pPr>
              <w:pStyle w:val="Compact"/>
            </w:pPr>
            <w:r>
              <w:t xml:space="preserve">CPU time 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Newmark (δ=½, β=¼)</w:t>
            </w:r>
          </w:p>
        </w:tc>
        <w:tc>
          <w:tcPr/>
          <w:p>
            <w:pPr>
              <w:pStyle w:val="Compact"/>
            </w:pPr>
            <w:r>
              <w:t xml:space="preserve">0.0032</w:t>
            </w:r>
          </w:p>
        </w:tc>
        <w:tc>
          <w:tcPr/>
          <w:p>
            <w:pPr>
              <w:pStyle w:val="Compact"/>
            </w:pPr>
            <w:r>
              <w:t xml:space="preserve">0.33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Wilson-θ (θ=1.4)</w:t>
            </w:r>
          </w:p>
        </w:tc>
        <w:tc>
          <w:tcPr/>
          <w:p>
            <w:pPr>
              <w:pStyle w:val="Compact"/>
            </w:pPr>
            <w:r>
              <w:t xml:space="preserve">0.0164</w:t>
            </w:r>
          </w:p>
        </w:tc>
        <w:tc>
          <w:tcPr/>
          <w:p>
            <w:pPr>
              <w:pStyle w:val="Compact"/>
            </w:pPr>
            <w:r>
              <w:t xml:space="preserve">0.19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Houbolt</w:t>
            </w:r>
          </w:p>
        </w:tc>
        <w:tc>
          <w:tcPr/>
          <w:p>
            <w:pPr>
              <w:pStyle w:val="Compact"/>
            </w:pPr>
            <w:r>
              <w:t xml:space="preserve">0.0025</w:t>
            </w:r>
          </w:p>
        </w:tc>
        <w:tc>
          <w:tcPr/>
          <w:p>
            <w:pPr>
              <w:pStyle w:val="Compact"/>
            </w:pPr>
            <w:r>
              <w:t xml:space="preserve">0.24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HHT-α (α=−0.1)</w:t>
            </w:r>
          </w:p>
        </w:tc>
        <w:tc>
          <w:tcPr/>
          <w:p>
            <w:pPr>
              <w:pStyle w:val="Compact"/>
            </w:pPr>
            <w:r>
              <w:t xml:space="preserve">0.0033</w:t>
            </w:r>
          </w:p>
        </w:tc>
        <w:tc>
          <w:tcPr/>
          <w:p>
            <w:pPr>
              <w:pStyle w:val="Compact"/>
            </w:pPr>
            <w:r>
              <w:t xml:space="preserve">0.29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ode15s (adaptive BDF)</w:t>
            </w:r>
          </w:p>
        </w:tc>
        <w:tc>
          <w:tcPr/>
          <w:p>
            <w:pPr>
              <w:pStyle w:val="Compact"/>
            </w:pPr>
            <w:r>
              <w:t xml:space="preserve">0.0003</w:t>
            </w:r>
          </w:p>
        </w:tc>
        <w:tc>
          <w:tcPr/>
          <w:p>
            <w:pPr>
              <w:pStyle w:val="Compact"/>
            </w:pPr>
            <w:r>
              <w:t xml:space="preserve">2.57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Laplace-Durbin (thermal subsystem)</w:t>
            </w:r>
          </w:p>
        </w:tc>
        <w:tc>
          <w:tcPr/>
          <w:p>
            <w:pPr>
              <w:pStyle w:val="Compact"/>
            </w:pPr>
            <w:r>
              <w:t xml:space="preserve">0.137</w:t>
            </w:r>
          </w:p>
        </w:tc>
        <w:tc>
          <w:tcPr/>
          <w:p>
            <w:pPr>
              <w:pStyle w:val="Compact"/>
            </w:pPr>
            <w:r>
              <w:t xml:space="preserve">193</w:t>
            </w:r>
          </w:p>
        </w:tc>
      </w:tr>
    </w:tbl>
    <w:p>
      <w:pPr>
        <w:pStyle w:val="BodyText"/>
      </w:pPr>
      <w:r>
        <w:t xml:space="preserve">Newmark, Houbolt and HHT-α are practically equally accurate at equal time step;</w:t>
      </w:r>
      <w:r>
        <w:t xml:space="preserve"> </w:t>
      </w:r>
      <w:r>
        <w:t xml:space="preserve">Wilson-θ accepts a roughly five-fold larger error owing to its extra numerical</w:t>
      </w:r>
      <w:r>
        <w:t xml:space="preserve"> </w:t>
      </w:r>
      <w:r>
        <w:t xml:space="preserve">dissipation; the adaptive stiff solver ode15s is about ten times more accurate but</w:t>
      </w:r>
      <w:r>
        <w:t xml:space="preserve"> </w:t>
      </w:r>
      <w:r>
        <w:t xml:space="preserve">eight times more expensive; and the Laplace-transform route with Durbin inversion</w:t>
      </w:r>
      <w:r>
        <w:t xml:space="preserve"> </w:t>
      </w:r>
      <w:r>
        <w:t xml:space="preserve">is three orders of magnitude slower. A methodological result also emerged: the</w:t>
      </w:r>
      <w:r>
        <w:t xml:space="preserve"> </w:t>
      </w:r>
      <w:r>
        <w:t xml:space="preserve">Laplace transform cannot be applied to the full coupled system, because the</w:t>
      </w:r>
      <w:r>
        <w:t xml:space="preserve"> </w:t>
      </w:r>
      <w:r>
        <w:t xml:space="preserve">undamped elastic poles of the coupled operator lie exactly on the inversion</w:t>
      </w:r>
      <w:r>
        <w:t xml:space="preserve"> </w:t>
      </w:r>
      <w:r>
        <w:t xml:space="preserve">contour — which is why transform methods are applied in the literature to thermal</w:t>
      </w:r>
      <w:r>
        <w:t xml:space="preserve"> </w:t>
      </w:r>
      <w:r>
        <w:t xml:space="preserve">subsystems only. This measured comparison justifies the choice of the Newmark</w:t>
      </w:r>
      <w:r>
        <w:t xml:space="preserve"> </w:t>
      </w:r>
      <w:r>
        <w:t xml:space="preserve">method for all production runs of this thesis.</w:t>
      </w:r>
    </w:p>
    <w:bookmarkEnd w:id="96"/>
    <w:bookmarkStart w:id="97" w:name="X9c9188b738b4478e05baa4d1b661521d9ddb445"/>
    <w:p>
      <w:pPr>
        <w:pStyle w:val="Heading2"/>
      </w:pPr>
      <w:r>
        <w:t xml:space="preserve">4-19. Comparison of spatial-discretization methods</w:t>
      </w:r>
    </w:p>
    <w:p>
      <w:pPr>
        <w:pStyle w:val="FirstParagraph"/>
      </w:pPr>
      <w:r>
        <w:t xml:space="preserve">Four spatial discretizations — the differential quadrature method with Chebyshev</w:t>
      </w:r>
      <w:r>
        <w:t xml:space="preserve"> </w:t>
      </w:r>
      <w:r>
        <w:t xml:space="preserve">and with uniform grids, the second-order finite difference method, and the finite</w:t>
      </w:r>
      <w:r>
        <w:t xml:space="preserve"> </w:t>
      </w:r>
      <w:r>
        <w:t xml:space="preserve">element method with linear and quadratic elements (Galerkin formulation with</w:t>
      </w:r>
      <w:r>
        <w:t xml:space="preserve"> </w:t>
      </w:r>
      <w:r>
        <w:t xml:space="preserve">consistent matrices) — are compared on the transient-conduction problem with the</w:t>
      </w:r>
      <w:r>
        <w:t xml:space="preserve"> </w:t>
      </w:r>
      <w:r>
        <w:t xml:space="preserve">exact Bessel-series solution, using the identical Newmark time march. The number of</w:t>
      </w:r>
      <w:r>
        <w:t xml:space="preserve"> </w:t>
      </w:r>
      <w:r>
        <w:t xml:space="preserve">points required for each method’s error to reach the time-step floor is: about 9</w:t>
      </w:r>
      <w:r>
        <w:t xml:space="preserve"> </w:t>
      </w:r>
      <w:r>
        <w:t xml:space="preserve">to 11 for differential quadrature, about 21 for quadratic finite elements, and</w:t>
      </w:r>
      <w:r>
        <w:t xml:space="preserve"> </w:t>
      </w:r>
      <w:r>
        <w:t xml:space="preserve">about 161 for linear finite elements and finite differences. The linear-FEM and</w:t>
      </w:r>
      <w:r>
        <w:t xml:space="preserve"> </w:t>
      </w:r>
      <w:r>
        <w:t xml:space="preserve">FDM curves coincide at slope −2; quadratic FEM gains roughly one order of magnitude</w:t>
      </w:r>
      <w:r>
        <w:t xml:space="preserve"> </w:t>
      </w:r>
      <w:r>
        <w:t xml:space="preserve">per refinement step; and the DQM error falls quasi-exponentially until the temporal</w:t>
      </w:r>
      <w:r>
        <w:t xml:space="preserve"> </w:t>
      </w:r>
      <w:r>
        <w:t xml:space="preserve">floor. At equal accuracy the DQM system is therefore about fifteen times smaller</w:t>
      </w:r>
      <w:r>
        <w:t xml:space="preserve"> </w:t>
      </w:r>
      <w:r>
        <w:t xml:space="preserve">per direction — squared in the (r,z) plane — which is the quantitative</w:t>
      </w:r>
      <w:r>
        <w:t xml:space="preserve"> </w:t>
      </w:r>
      <w:r>
        <w:t xml:space="preserve">justification for the layerwise differential quadrature choice of this thesis, and</w:t>
      </w:r>
      <w:r>
        <w:t xml:space="preserve"> </w:t>
      </w:r>
      <w:r>
        <w:t xml:space="preserve">is fully consistent with the mesh-convergence study of Section 4-3, where a handful</w:t>
      </w:r>
      <w:r>
        <w:t xml:space="preserve"> </w:t>
      </w:r>
      <w:r>
        <w:t xml:space="preserve">of radial points already delivered three-digit accuracy. Adding the two Galerkin</w:t>
      </w:r>
      <w:r>
        <w:t xml:space="preserve"> </w:t>
      </w:r>
      <w:r>
        <w:t xml:space="preserve">finite-element formulations to this comparison is one of the extensions of this</w:t>
      </w:r>
      <w:r>
        <w:t xml:space="preserve"> </w:t>
      </w:r>
      <w:r>
        <w:t xml:space="preserve">work over comparable previous studies.</w:t>
      </w:r>
    </w:p>
    <w:bookmarkEnd w:id="97"/>
    <w:bookmarkStart w:id="101" w:name="X98f2e98b83d46383dd6148158741cac70debee7"/>
    <w:p>
      <w:pPr>
        <w:pStyle w:val="Heading2"/>
      </w:pPr>
      <w:r>
        <w:t xml:space="preserve">4-20. Comparison of the generalized thermoelasticity theories</w:t>
      </w:r>
    </w:p>
    <w:p>
      <w:pPr>
        <w:pStyle w:val="FirstParagraph"/>
      </w:pPr>
      <w:r>
        <w:rPr>
          <w:b/>
          <w:bCs/>
        </w:rPr>
        <w:t xml:space="preserve">4-23</w:t>
      </w:r>
    </w:p>
    <w:p>
      <w:pPr>
        <w:pStyle w:val="CaptionedFigure"/>
      </w:pPr>
      <w:r>
        <w:drawing>
          <wp:inline>
            <wp:extent cx="5334000" cy="3708431"/>
            <wp:effectExtent b="0" l="0" r="0" t="0"/>
            <wp:docPr descr="Figure 4-23: Comparison of the generalized thermoelasticity theories — Fourier, Lord–Shulman, dual-phase-lag and Green–Naghdi III [R_o/R_i=1.5, L=2.1 m, N_L=7, W_GPL=0.3%, e_m3=0.8604, τ*=0.15, P_i=50 MPa, simply supported]" title="" id="99" name="Picture"/>
            <a:graphic>
              <a:graphicData uri="http://schemas.openxmlformats.org/drawingml/2006/picture">
                <pic:pic>
                  <pic:nvPicPr>
                    <pic:cNvPr descr="figures_ch4_bw/T3_theories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4-23: Comparison of the generalized thermoelasticity theories — Fourier, Lord–Shulman, dual-phase-lag and Green–Naghdi III [R_o/R_i=1.5, L=2.1 m, N_L=7, W_GPL=0.3%, e_m3=0.8604, τ*=0.15, P_i=50 MPa, simply supported]</w:t>
      </w:r>
    </w:p>
    <w:p>
      <w:pPr>
        <w:pStyle w:val="BodyText"/>
      </w:pPr>
      <w:r>
        <w:t xml:space="preserve">In the final extension study the reference problem is solved under four</w:t>
      </w:r>
      <w:r>
        <w:t xml:space="preserve"> </w:t>
      </w:r>
      <w:r>
        <w:t xml:space="preserve">thermoelasticity theories with matched parameters: the classical coupled Fourier</w:t>
      </w:r>
      <w:r>
        <w:t xml:space="preserve"> </w:t>
      </w:r>
      <w:r>
        <w:t xml:space="preserve">theory, the Lord-Shulman theory [4], the dual-phase-lag (DPL) theory [74] with</w:t>
      </w:r>
      <w:r>
        <w:t xml:space="preserve"> </w:t>
      </w:r>
      <w:r>
        <w:t xml:space="preserve">τ_q = τ0 and τ_T = τ_q/2, and the Green-Naghdi type-III theory [67] with</w:t>
      </w:r>
      <w:r>
        <w:t xml:space="preserve"> </w:t>
      </w:r>
      <w:r>
        <w:t xml:space="preserve">k* = k/τ0 (so that its wave speed equals the Lord-Shulman one). According to</w:t>
      </w:r>
      <w:r>
        <w:t xml:space="preserve"> </w:t>
      </w:r>
      <w:r>
        <w:t xml:space="preserve">Figure 4-23, the peak mid-point temperatures order as Fourier 0.950 &lt; DPL 0.956 &lt;</w:t>
      </w:r>
      <w:r>
        <w:t xml:space="preserve"> </w:t>
      </w:r>
      <w:r>
        <w:t xml:space="preserve">Lord-Shulman 0.962 &lt; Green-Naghdi 1.581. Two observations follow. First, at the</w:t>
      </w:r>
      <w:r>
        <w:t xml:space="preserve"> </w:t>
      </w:r>
      <w:r>
        <w:t xml:space="preserve">mild reference relaxation time the Fourier, DPL and Lord-Shulman peaks lie close</w:t>
      </w:r>
      <w:r>
        <w:t xml:space="preserve"> </w:t>
      </w:r>
      <w:r>
        <w:t xml:space="preserve">together, because the wave is weak; DPL interpolates between Fourier and</w:t>
      </w:r>
      <w:r>
        <w:t xml:space="preserve"> </w:t>
      </w:r>
      <w:r>
        <w:t xml:space="preserve">Lord-Shulman, as expected. Second, the Green-Naghdi type-III theory stands apart:</w:t>
      </w:r>
      <w:r>
        <w:t xml:space="preserve"> </w:t>
      </w:r>
      <w:r>
        <w:t xml:space="preserve">it produces a large, early overshoot (peak 1.581 at Fo ≈ 0.33) that then relaxes</w:t>
      </w:r>
      <w:r>
        <w:t xml:space="preserve"> </w:t>
      </w:r>
      <w:r>
        <w:t xml:space="preserve">only slowly (0.870 at the end of the interval), because its energy equation lacks a</w:t>
      </w:r>
      <w:r>
        <w:t xml:space="preserve"> </w:t>
      </w:r>
      <w:r>
        <w:t xml:space="preserve">dissipative mechanism to damp the thermal wave, so its long-time behavior is</w:t>
      </w:r>
      <w:r>
        <w:t xml:space="preserve"> </w:t>
      </w:r>
      <w:r>
        <w:t xml:space="preserve">qualitatively different from the other three. Such a four-theory map for porous</w:t>
      </w:r>
      <w:r>
        <w:t xml:space="preserve"> </w:t>
      </w:r>
      <w:r>
        <w:t xml:space="preserve">GPL-reinforced cylinders does not exist in the literature and is one of the</w:t>
      </w:r>
      <w:r>
        <w:t xml:space="preserve"> </w:t>
      </w:r>
      <w:r>
        <w:t xml:space="preserve">contributions of this research.</w:t>
      </w:r>
    </w:p>
    <w:bookmarkEnd w:id="101"/>
    <w:bookmarkStart w:id="102" w:name="chapter-summary"/>
    <w:p>
      <w:pPr>
        <w:pStyle w:val="Heading2"/>
      </w:pPr>
      <w:r>
        <w:t xml:space="preserve">4-21. Chapter summary</w:t>
      </w:r>
    </w:p>
    <w:p>
      <w:pPr>
        <w:pStyle w:val="FirstParagraph"/>
      </w:pPr>
      <w:r>
        <w:t xml:space="preserve">The main findings of this chapter can be summarized as follows:</w:t>
      </w:r>
    </w:p>
    <w:p>
      <w:pPr>
        <w:pStyle w:val="Compact"/>
        <w:numPr>
          <w:ilvl w:val="0"/>
          <w:numId w:val="1001"/>
        </w:numPr>
      </w:pPr>
      <w:r>
        <w:t xml:space="preserve">The numerical convergence of the solution was established independently in</w:t>
      </w:r>
      <w:r>
        <w:t xml:space="preserve"> </w:t>
      </w:r>
      <w:r>
        <w:t xml:space="preserve">every direction — radial (converged from N_r = 7), axial (the binding</w:t>
      </w:r>
      <w:r>
        <w:t xml:space="preserve"> </w:t>
      </w:r>
      <w:r>
        <w:t xml:space="preserve">direction; N_z = 5 gives a 9.4 % error, converged by N_z = 9), layers</w:t>
      </w:r>
      <w:r>
        <w:t xml:space="preserve"> </w:t>
      </w:r>
      <w:r>
        <w:t xml:space="preserve">(converged from N_L = 3–5) and time step (Δt ≤ 2 s) — before the solver was</w:t>
      </w:r>
      <w:r>
        <w:t xml:space="preserve"> </w:t>
      </w:r>
      <w:r>
        <w:t xml:space="preserve">verified in five independent tests against exact solutions and references.</w:t>
      </w:r>
    </w:p>
    <w:p>
      <w:pPr>
        <w:pStyle w:val="Compact"/>
        <w:numPr>
          <w:ilvl w:val="0"/>
          <w:numId w:val="1001"/>
        </w:numPr>
      </w:pPr>
      <w:r>
        <w:t xml:space="preserve">The Lord-Shulman thermal wave produces a mid-wall temperature overshoot that</w:t>
      </w:r>
      <w:r>
        <w:t xml:space="preserve"> </w:t>
      </w:r>
      <w:r>
        <w:t xml:space="preserve">grows with the relaxation time, up to T* = 1.166 at τ* = 0.44 — impossible under</w:t>
      </w:r>
      <w:r>
        <w:t xml:space="preserve"> </w:t>
      </w:r>
      <w:r>
        <w:t xml:space="preserve">Fourier conduction — with the characteristic peak-trough shape of the reflecting</w:t>
      </w:r>
      <w:r>
        <w:t xml:space="preserve"> </w:t>
      </w:r>
      <w:r>
        <w:t xml:space="preserve">wave; at the mild reference τ* = 0.15 the overshoot is small.</w:t>
      </w:r>
    </w:p>
    <w:p>
      <w:pPr>
        <w:pStyle w:val="Compact"/>
        <w:numPr>
          <w:ilvl w:val="0"/>
          <w:numId w:val="1001"/>
        </w:numPr>
      </w:pPr>
      <w:r>
        <w:t xml:space="preserve">Placing the GPLs at the heated surface (pattern V) and the pores at the cooled</w:t>
      </w:r>
      <w:r>
        <w:t xml:space="preserve"> </w:t>
      </w:r>
      <w:r>
        <w:t xml:space="preserve">surface (pattern A) is synergetic: the full 5×5 pattern matrix shows the best</w:t>
      </w:r>
      <w:r>
        <w:t xml:space="preserve"> </w:t>
      </w:r>
      <w:r>
        <w:t xml:space="preserve">combination, GPL-V with porosity-A, reducing the outer-surface temperature about</w:t>
      </w:r>
      <w:r>
        <w:t xml:space="preserve"> </w:t>
      </w:r>
      <w:r>
        <w:t xml:space="preserve">twenty-six-fold at a benign (compressive) stress level — the design</w:t>
      </w:r>
      <w:r>
        <w:t xml:space="preserve"> </w:t>
      </w:r>
      <w:r>
        <w:t xml:space="preserve">recommendation of this thesis. The alignment or opposition of the mirror</w:t>
      </w:r>
      <w:r>
        <w:t xml:space="preserve"> </w:t>
      </w:r>
      <w:r>
        <w:t xml:space="preserve">patterns V and A governs the thermal performance.</w:t>
      </w:r>
    </w:p>
    <w:p>
      <w:pPr>
        <w:pStyle w:val="Compact"/>
        <w:numPr>
          <w:ilvl w:val="0"/>
          <w:numId w:val="1001"/>
        </w:numPr>
      </w:pPr>
      <w:r>
        <w:t xml:space="preserve">In the low reference weight-fraction regime a small amount of graphene switches</w:t>
      </w:r>
      <w:r>
        <w:t xml:space="preserve"> </w:t>
      </w:r>
      <w:r>
        <w:t xml:space="preserve">the wall from a poor to a good thermal conductor; adding more mainly raises the</w:t>
      </w:r>
      <w:r>
        <w:t xml:space="preserve"> </w:t>
      </w:r>
      <w:r>
        <w:t xml:space="preserve">thermal stresses (the inner hoop stress reverses to −1.580 at 8 %). At this low</w:t>
      </w:r>
      <w:r>
        <w:t xml:space="preserve"> </w:t>
      </w:r>
      <w:r>
        <w:t xml:space="preserve">weight fraction the platelet aspect ratios are only second-order levers.</w:t>
      </w:r>
    </w:p>
    <w:p>
      <w:pPr>
        <w:pStyle w:val="Compact"/>
        <w:numPr>
          <w:ilvl w:val="0"/>
          <w:numId w:val="1001"/>
        </w:numPr>
      </w:pPr>
      <w:r>
        <w:t xml:space="preserve">Full coupling damps the thermal wave (about 1 % peak reduction at the reference,</w:t>
      </w:r>
      <w:r>
        <w:t xml:space="preserve"> </w:t>
      </w:r>
      <w:r>
        <w:t xml:space="preserve">growing with wave strength); uncoupled models are non-conservative at the wave</w:t>
      </w:r>
      <w:r>
        <w:t xml:space="preserve"> </w:t>
      </w:r>
      <w:r>
        <w:t xml:space="preserve">fronts.</w:t>
      </w:r>
    </w:p>
    <w:p>
      <w:pPr>
        <w:pStyle w:val="Compact"/>
        <w:numPr>
          <w:ilvl w:val="0"/>
          <w:numId w:val="1001"/>
        </w:numPr>
      </w:pPr>
      <w:r>
        <w:t xml:space="preserve">Internal pressure enters linearly; at the 50 MPa reference it is a first-order</w:t>
      </w:r>
      <w:r>
        <w:t xml:space="preserve"> </w:t>
      </w:r>
      <w:r>
        <w:t xml:space="preserve">contributor to the stress and displacement, yet the temperature field stays</w:t>
      </w:r>
      <w:r>
        <w:t xml:space="preserve"> </w:t>
      </w:r>
      <w:r>
        <w:t xml:space="preserve">thermally governed and no discontinuity occurs up to 100 MPa.</w:t>
      </w:r>
    </w:p>
    <w:p>
      <w:pPr>
        <w:pStyle w:val="Compact"/>
        <w:numPr>
          <w:ilvl w:val="0"/>
          <w:numId w:val="1001"/>
        </w:numPr>
      </w:pPr>
      <w:r>
        <w:t xml:space="preserve">Clamped ends reduce the mid-length hoop stress (from 1.526 to 0.424); support</w:t>
      </w:r>
      <w:r>
        <w:t xml:space="preserve"> </w:t>
      </w:r>
      <w:r>
        <w:t xml:space="preserve">effects are localized at the ends, and as the cylinder lengthens the mid-length</w:t>
      </w:r>
      <w:r>
        <w:t xml:space="preserve"> </w:t>
      </w:r>
      <w:r>
        <w:t xml:space="preserve">response converges to the long-cylinder limit.</w:t>
      </w:r>
    </w:p>
    <w:p>
      <w:pPr>
        <w:pStyle w:val="Compact"/>
        <w:numPr>
          <w:ilvl w:val="0"/>
          <w:numId w:val="1001"/>
        </w:numPr>
      </w:pPr>
      <w:r>
        <w:t xml:space="preserve">Under impulsive (Gaussian) heating the Lord-Shulman pulse reaches the mid-wall</w:t>
      </w:r>
      <w:r>
        <w:t xml:space="preserve"> </w:t>
      </w:r>
      <w:r>
        <w:t xml:space="preserve">about two and a half times stronger than the Fourier one and persists, whereas</w:t>
      </w:r>
      <w:r>
        <w:t xml:space="preserve"> </w:t>
      </w:r>
      <w:r>
        <w:t xml:space="preserve">the classical pulse smears and vanishes.</w:t>
      </w:r>
    </w:p>
    <w:p>
      <w:pPr>
        <w:pStyle w:val="Compact"/>
        <w:numPr>
          <w:ilvl w:val="0"/>
          <w:numId w:val="1001"/>
        </w:numPr>
      </w:pPr>
      <w:r>
        <w:t xml:space="preserve">Methodologically: Newmark offers the best accuracy-to-cost ratio of the six</w:t>
      </w:r>
      <w:r>
        <w:t xml:space="preserve"> </w:t>
      </w:r>
      <w:r>
        <w:t xml:space="preserve">tested integrators; differential quadrature needs about fifteen times fewer</w:t>
      </w:r>
      <w:r>
        <w:t xml:space="preserve"> </w:t>
      </w:r>
      <w:r>
        <w:t xml:space="preserve">points per direction than finite differences or linear finite elements; and the</w:t>
      </w:r>
      <w:r>
        <w:t xml:space="preserve"> </w:t>
      </w:r>
      <w:r>
        <w:t xml:space="preserve">four-theory map (Fourier / Lord-Shulman / DPL / Green-Naghdi) charts where the</w:t>
      </w:r>
      <w:r>
        <w:t xml:space="preserve"> </w:t>
      </w:r>
      <w:r>
        <w:t xml:space="preserve">theories diverge for this class of structures.</w:t>
      </w:r>
    </w:p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57" Target="media/rId57.png" /><Relationship Type="http://schemas.openxmlformats.org/officeDocument/2006/relationships/image" Id="rId46" Target="media/rId46.png" /><Relationship Type="http://schemas.openxmlformats.org/officeDocument/2006/relationships/image" Id="rId43" Target="media/rId43.png" /><Relationship Type="http://schemas.openxmlformats.org/officeDocument/2006/relationships/image" Id="rId39" Target="media/rId39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69" Target="media/rId69.png" /><Relationship Type="http://schemas.openxmlformats.org/officeDocument/2006/relationships/image" Id="rId98" Target="media/rId98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19" Target="media/rId19.png" /><Relationship Type="http://schemas.openxmlformats.org/officeDocument/2006/relationships/image" Id="rId11" Target="media/rId11.png" /><Relationship Type="http://schemas.openxmlformats.org/officeDocument/2006/relationships/image" Id="rId15" Target="media/rId15.png" /><Relationship Type="http://schemas.openxmlformats.org/officeDocument/2006/relationships/image" Id="rId76" Target="media/rId76.png" /><Relationship Type="http://schemas.openxmlformats.org/officeDocument/2006/relationships/image" Id="rId73" Target="media/rId7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2026-08-03T14:59:29Z</dcterms:created>
  <dcterms:modified xsi:type="dcterms:W3CDTF">2026-08-03T14:59:29Z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