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3f750f30fb4ed1cbb1121c38e868e1109af724"/>
    <w:p>
      <w:pPr>
        <w:pStyle w:val="Heading1"/>
      </w:pPr>
      <w:r>
        <w:t xml:space="preserve">How this codebase is built — a guide to the patterns</w:t>
      </w:r>
    </w:p>
    <w:p>
      <w:pPr>
        <w:pStyle w:val="FirstParagraph"/>
      </w:pPr>
      <w:r>
        <w:t xml:space="preserve">This is not a reference for what each file does (see</w:t>
      </w:r>
      <w:r>
        <w:t xml:space="preserve"> </w:t>
      </w:r>
      <w:r>
        <w:rPr>
          <w:rStyle w:val="VerbatimChar"/>
        </w:rPr>
        <w:t xml:space="preserve">CODE_DOC_usage_FA.md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CODE_DOC_technical_FA.md</w:t>
      </w:r>
      <w:r>
        <w:t xml:space="preserve"> </w:t>
      </w:r>
      <w:r>
        <w:t xml:space="preserve">for that). It’s a guide to the</w:t>
      </w:r>
      <w:r>
        <w:t xml:space="preserve"> </w:t>
      </w:r>
      <w:r>
        <w:rPr>
          <w:i/>
          <w:iCs/>
        </w:rPr>
        <w:t xml:space="preserve">recurring patterns</w:t>
      </w:r>
      <w:r>
        <w:t xml:space="preserve"> </w:t>
      </w:r>
      <w:r>
        <w:t xml:space="preserve">used across the solver, the validation scripts, and the figure/catalog</w:t>
      </w:r>
      <w:r>
        <w:t xml:space="preserve"> </w:t>
      </w:r>
      <w:r>
        <w:t xml:space="preserve">scripts, so you can extend them yourself, or write new scripts that fit the</w:t>
      </w:r>
      <w:r>
        <w:t xml:space="preserve"> </w:t>
      </w:r>
      <w:r>
        <w:t xml:space="preserve">same conventions.</w:t>
      </w:r>
    </w:p>
    <w:bookmarkStart w:id="9" w:name="X3cc56abe910218a51f27a507c2182f6d6b06c2c"/>
    <w:p>
      <w:pPr>
        <w:pStyle w:val="Heading2"/>
      </w:pPr>
      <w:r>
        <w:t xml:space="preserve">1. The big organizing idea: revision files, never in-place edits</w:t>
      </w:r>
    </w:p>
    <w:p>
      <w:pPr>
        <w:pStyle w:val="FirstParagraph"/>
      </w:pPr>
      <w:r>
        <w:t xml:space="preserve">Every solver file is named</w:t>
      </w:r>
      <w:r>
        <w:t xml:space="preserve"> </w:t>
      </w:r>
      <w:r>
        <w:rPr>
          <w:rStyle w:val="VerbatimChar"/>
        </w:rPr>
        <w:t xml:space="preserve">LSTE_solver_R&lt;n&gt;.m</w:t>
      </w:r>
      <w:r>
        <w:t xml:space="preserve"> </w:t>
      </w:r>
      <w:r>
        <w:t xml:space="preserve">(</w:t>
      </w:r>
      <w:r>
        <w:rPr>
          <w:rStyle w:val="VerbatimChar"/>
        </w:rPr>
        <w:t xml:space="preserve">LSTE_solver_R1.m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LSTE_solver_R8.m</w:t>
      </w:r>
      <w:r>
        <w:t xml:space="preserve">).</w:t>
      </w:r>
      <w:r>
        <w:t xml:space="preserve"> </w:t>
      </w:r>
      <w:r>
        <w:t xml:space="preserve">When a bug is fixed or a feature is added, a</w:t>
      </w:r>
      <w:r>
        <w:t xml:space="preserve"> </w:t>
      </w:r>
      <w:r>
        <w:rPr>
          <w:b/>
          <w:bCs/>
        </w:rPr>
        <w:t xml:space="preserve">new file</w:t>
      </w:r>
      <w:r>
        <w:t xml:space="preserve"> </w:t>
      </w:r>
      <w:r>
        <w:t xml:space="preserve">is created —</w:t>
      </w:r>
      <w:r>
        <w:t xml:space="preserve"> </w:t>
      </w:r>
      <w:r>
        <w:rPr>
          <w:rStyle w:val="VerbatimChar"/>
        </w:rPr>
        <w:t xml:space="preserve">LSTE_solver_R1.m</w:t>
      </w:r>
      <w:r>
        <w:t xml:space="preserve"> </w:t>
      </w:r>
      <w:r>
        <w:t xml:space="preserve">is never edited once it’s verified.</w:t>
      </w:r>
      <w:r>
        <w:t xml:space="preserve"> </w:t>
      </w:r>
      <w:r>
        <w:rPr>
          <w:rStyle w:val="VerbatimChar"/>
        </w:rPr>
        <w:t xml:space="preserve">LSTE_solver_R8.m</w:t>
      </w:r>
      <w:r>
        <w:t xml:space="preserve">’s own header</w:t>
      </w:r>
      <w:r>
        <w:t xml:space="preserve"> </w:t>
      </w:r>
      <w:r>
        <w:t xml:space="preserve">comment is the clearest example of why:</w:t>
      </w:r>
    </w:p>
    <w:p>
      <w:pPr>
        <w:pStyle w:val="SourceCode"/>
      </w:pPr>
      <w:r>
        <w:rPr>
          <w:rStyle w:val="CommentTok"/>
        </w:rPr>
        <w:t xml:space="preserve">%  REVISION R8 — FINAL / DEFINITIVE REVISION ...</w:t>
      </w:r>
      <w:r>
        <w:br/>
      </w:r>
      <w:r>
        <w:rPr>
          <w:rStyle w:val="CommentTok"/>
        </w:rPr>
        <w:t xml:space="preserve">%   * PHYSICS DIGIT-IDENTICAL to R7 (hence to R6): solver logic, matrix</w:t>
      </w:r>
      <w:r>
        <w:br/>
      </w:r>
      <w:r>
        <w:rPr>
          <w:rStyle w:val="CommentTok"/>
        </w:rPr>
        <w:t xml:space="preserve">%     assembly and the Newmark march are byte-for-byte unchanged. ONLY the</w:t>
      </w:r>
      <w:r>
        <w:br/>
      </w:r>
      <w:r>
        <w:rPr>
          <w:rStyle w:val="CommentTok"/>
        </w:rPr>
        <w:t xml:space="preserve">%     default model configuration was changed ...</w:t>
      </w:r>
      <w:r>
        <w:br/>
      </w:r>
      <w:r>
        <w:rPr>
          <w:rStyle w:val="CommentTok"/>
        </w:rPr>
        <w:t xml:space="preserve">%  ------------------------------------------------------------------------</w:t>
      </w:r>
      <w:r>
        <w:br/>
      </w:r>
      <w:r>
        <w:rPr>
          <w:rStyle w:val="CommentTok"/>
        </w:rPr>
        <w:t xml:space="preserve">%  REVISION R7 (additive, on frozen R6 -- supervisor review Prom.2 page 4):</w:t>
      </w:r>
      <w:r>
        <w:br/>
      </w:r>
      <w:r>
        <w:rPr>
          <w:rStyle w:val="CommentTok"/>
        </w:rPr>
        <w:t xml:space="preserve">%   EXPLICIT DOF NUMBERING / MAPPING MATRICES. ... they add NO physics and</w:t>
      </w:r>
      <w:r>
        <w:br/>
      </w:r>
      <w:r>
        <w:rPr>
          <w:rStyle w:val="CommentTok"/>
        </w:rPr>
        <w:t xml:space="preserve">%   change no result (K, C, M, the solve and every output are identical to</w:t>
      </w:r>
      <w:r>
        <w:br/>
      </w:r>
      <w:r>
        <w:rPr>
          <w:rStyle w:val="CommentTok"/>
        </w:rPr>
        <w:t xml:space="preserve">%   LSTE_solver_R6).</w:t>
      </w:r>
    </w:p>
    <w:p>
      <w:pPr>
        <w:pStyle w:val="FirstParagraph"/>
      </w:pPr>
      <w:r>
        <w:t xml:space="preserve">Each revision states, explicitly, in its own header:</w:t>
      </w:r>
      <w:r>
        <w:t xml:space="preserve"> </w:t>
      </w:r>
      <w:r>
        <w:t xml:space="preserve">1. What is new.</w:t>
      </w:r>
      <w:r>
        <w:t xml:space="preserve"> </w:t>
      </w:r>
      <w:r>
        <w:t xml:space="preserve">2. What is guaranteed unchanged (usually:</w:t>
      </w:r>
      <w:r>
        <w:t xml:space="preserve"> </w:t>
      </w:r>
      <w:r>
        <w:t xml:space="preserve">“digit-identical to R</w:t>
      </w:r>
      <w:r>
        <w:t xml:space="preserve"> </w:t>
      </w:r>
      <w:r>
        <w:t xml:space="preserve">when the</w:t>
      </w:r>
      <w:r>
        <w:t xml:space="preserve"> </w:t>
      </w:r>
      <w:r>
        <w:t xml:space="preserve">new feature is left at its default”</w:t>
      </w:r>
      <w:r>
        <w:t xml:space="preserve">).</w:t>
      </w:r>
      <w:r>
        <w:t xml:space="preserve"> </w:t>
      </w:r>
      <w:r>
        <w:t xml:space="preserve">3. Which real-world review or bug prompted it (a supervisor comment, an</w:t>
      </w:r>
      <w:r>
        <w:t xml:space="preserve"> </w:t>
      </w:r>
      <w:r>
        <w:t xml:space="preserve">audit finding, a benchmark mismatch).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 once a revision has been checked against a benchmark</w:t>
      </w:r>
      <w:r>
        <w:t xml:space="preserve"> </w:t>
      </w:r>
      <w:r>
        <w:t xml:space="preserve">(see §4), that check is permanent — nobody has to re-derive</w:t>
      </w:r>
      <w:r>
        <w:t xml:space="preserve"> </w:t>
      </w:r>
      <w:r>
        <w:t xml:space="preserve">“does this still</w:t>
      </w:r>
      <w:r>
        <w:t xml:space="preserve"> </w:t>
      </w:r>
      <w:r>
        <w:t xml:space="preserve">match the exact static-limit test”</w:t>
      </w:r>
      <w:r>
        <w:t xml:space="preserve"> </w:t>
      </w:r>
      <w:r>
        <w:t xml:space="preserve">every time a new feature is added,</w:t>
      </w:r>
      <w:r>
        <w:t xml:space="preserve"> </w:t>
      </w:r>
      <w:r>
        <w:t xml:space="preserve">because the new feature is proven not to touch the old code path. If you</w:t>
      </w:r>
      <w:r>
        <w:t xml:space="preserve"> </w:t>
      </w:r>
      <w:r>
        <w:t xml:space="preserve">ever need to change something in a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file, the answer is: copy it</w:t>
      </w:r>
      <w:r>
        <w:t xml:space="preserve"> </w:t>
      </w:r>
      <w:r>
        <w:t xml:space="preserve">to a new revision number first, then edit the copy. This is why you now also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ch123_figs_2016b.m</w:t>
      </w:r>
      <w:r>
        <w:t xml:space="preserve"> </w:t>
      </w:r>
      <w:r>
        <w:t xml:space="preserve">sitting next to</w:t>
      </w:r>
      <w:r>
        <w:t xml:space="preserve"> </w:t>
      </w:r>
      <w:r>
        <w:rPr>
          <w:rStyle w:val="VerbatimChar"/>
        </w:rPr>
        <w:t xml:space="preserve">ch123_figs.m</w:t>
      </w:r>
      <w:r>
        <w:t xml:space="preserve"> </w:t>
      </w:r>
      <w:r>
        <w:t xml:space="preserve">instead of a modified original — same idea, different reason (compatibility</w:t>
      </w:r>
      <w:r>
        <w:t xml:space="preserve"> </w:t>
      </w:r>
      <w:r>
        <w:t xml:space="preserve">instead of a new feature), same rule.</w:t>
      </w:r>
    </w:p>
    <w:bookmarkEnd w:id="9"/>
    <w:bookmarkStart w:id="15" w:name="X509d66b3bf0d2b7032fc19fc95a1936000a0f6f"/>
    <w:p>
      <w:pPr>
        <w:pStyle w:val="Heading2"/>
      </w:pPr>
      <w:r>
        <w:t xml:space="preserve">2. The solver’s structure (</w:t>
      </w:r>
      <w:r>
        <w:rPr>
          <w:rStyle w:val="VerbatimChar"/>
        </w:rPr>
        <w:t xml:space="preserve">LSTE_solver_R8.m</w:t>
      </w:r>
      <w:r>
        <w:t xml:space="preserve">), section by section</w:t>
      </w:r>
    </w:p>
    <w:p>
      <w:pPr>
        <w:pStyle w:val="FirstParagraph"/>
      </w:pPr>
      <w:r>
        <w:t xml:space="preserve">Every solver revision follows the same skeleton, marked with</w:t>
      </w:r>
      <w:r>
        <w:t xml:space="preserve"> </w:t>
      </w:r>
      <w:r>
        <w:rPr>
          <w:rStyle w:val="VerbatimChar"/>
        </w:rPr>
        <w:t xml:space="preserve">%% ===</w:t>
      </w:r>
      <w:r>
        <w:t xml:space="preserve"> </w:t>
      </w:r>
      <w:r>
        <w:t xml:space="preserve">banner</w:t>
      </w:r>
      <w:r>
        <w:t xml:space="preserve"> </w:t>
      </w:r>
      <w:r>
        <w:t xml:space="preserve">comments so you can jump between sections in the MATLAB editor:</w:t>
      </w:r>
    </w:p>
    <w:p>
      <w:pPr>
        <w:pStyle w:val="SourceCode"/>
      </w:pPr>
      <w:r>
        <w:rPr>
          <w:rStyle w:val="VerbatimChar"/>
        </w:rPr>
        <w:t xml:space="preserve">0. Model configuration     — every tunable knob, as plain variables</w:t>
      </w:r>
      <w:r>
        <w:br/>
      </w:r>
      <w:r>
        <w:rPr>
          <w:rStyle w:val="VerbatimChar"/>
        </w:rPr>
        <w:t xml:space="preserve">1. Geometry &amp; discretization — layer radii, Chebyshev node grids, DQ weights</w:t>
      </w:r>
      <w:r>
        <w:br/>
      </w:r>
      <w:r>
        <w:rPr>
          <w:rStyle w:val="VerbatimChar"/>
        </w:rPr>
        <w:t xml:space="preserve">2. Loading &amp; time parameters — temperatures, pressure, dt, total_time</w:t>
      </w:r>
      <w:r>
        <w:br/>
      </w:r>
      <w:r>
        <w:rPr>
          <w:rStyle w:val="VerbatimChar"/>
        </w:rPr>
        <w:t xml:space="preserve">   (cfg-override block lives here — see §3)</w:t>
      </w:r>
      <w:r>
        <w:br/>
      </w:r>
      <w:r>
        <w:rPr>
          <w:rStyle w:val="VerbatimChar"/>
        </w:rPr>
        <w:t xml:space="preserve">3. Material properties      — per-layer effective properties (GPL + porosity)</w:t>
      </w:r>
      <w:r>
        <w:br/>
      </w:r>
      <w:r>
        <w:rPr>
          <w:rStyle w:val="VerbatimChar"/>
        </w:rPr>
        <w:t xml:space="preserve">4. Global assembly           — build sparse K, C, M row by row</w:t>
      </w:r>
      <w:r>
        <w:br/>
      </w:r>
      <w:r>
        <w:rPr>
          <w:rStyle w:val="VerbatimChar"/>
        </w:rPr>
        <w:t xml:space="preserve">5. Row equilibration + diagnostics — condition the system, factorize once</w:t>
      </w:r>
      <w:r>
        <w:br/>
      </w:r>
      <w:r>
        <w:rPr>
          <w:rStyle w:val="VerbatimChar"/>
        </w:rPr>
        <w:t xml:space="preserve">6. Newmark time integration  — the actual time-marching loop</w:t>
      </w:r>
      <w:r>
        <w:br/>
      </w:r>
      <w:r>
        <w:rPr>
          <w:rStyle w:val="VerbatimChar"/>
        </w:rPr>
        <w:t xml:space="preserve">7. Post-processing            — profiles, stresses, save to .mat</w:t>
      </w:r>
      <w:r>
        <w:br/>
      </w:r>
      <w:r>
        <w:rPr>
          <w:rStyle w:val="VerbatimChar"/>
        </w:rPr>
        <w:t xml:space="preserve">   helper functions           — local functions, must be at the END of the file</w:t>
      </w:r>
    </w:p>
    <w:p>
      <w:pPr>
        <w:pStyle w:val="FirstParagraph"/>
      </w:pPr>
      <w:r>
        <w:t xml:space="preserve">This ordering is deliberate:</w:t>
      </w:r>
      <w:r>
        <w:t xml:space="preserve"> </w:t>
      </w:r>
      <w:r>
        <w:rPr>
          <w:b/>
          <w:bCs/>
        </w:rPr>
        <w:t xml:space="preserve">everything that can be computed once, is</w:t>
      </w:r>
      <w:r>
        <w:rPr>
          <w:b/>
          <w:bCs/>
        </w:rPr>
        <w:t xml:space="preserve"> </w:t>
      </w:r>
      <w:r>
        <w:rPr>
          <w:b/>
          <w:bCs/>
        </w:rPr>
        <w:t xml:space="preserve">computed once, before the time loop.</w:t>
      </w:r>
      <w:r>
        <w:t xml:space="preserve"> </w:t>
      </w:r>
      <w:r>
        <w:t xml:space="preserve">By the time you reach section 6,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are final and already LU-factored (</w:t>
      </w:r>
      <w:r>
        <w:rPr>
          <w:rStyle w:val="VerbatimChar"/>
        </w:rPr>
        <w:t xml:space="preserve">[Lf,Uf,Pf_,Qf] = lu(K_eff)</w:t>
      </w:r>
      <w:r>
        <w:t xml:space="preserve">);</w:t>
      </w:r>
      <w:r>
        <w:t xml:space="preserve"> </w:t>
      </w:r>
      <w:r>
        <w:t xml:space="preserve">the loop itself does only a forward/back substitution per step — no matrix</w:t>
      </w:r>
      <w:r>
        <w:t xml:space="preserve"> </w:t>
      </w:r>
      <w:r>
        <w:t xml:space="preserve">rebuilding, no re-factorization. This single design choice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reason</w:t>
      </w:r>
      <w:r>
        <w:t xml:space="preserve"> </w:t>
      </w:r>
      <w:r>
        <w:t xml:space="preserve">3000 time steps run in seconds rather than minutes.</w:t>
      </w:r>
    </w:p>
    <w:bookmarkStart w:id="10" w:name="X83c5f61bf21e8508f9fdfc6bfa935a6e5ed674c"/>
    <w:p>
      <w:pPr>
        <w:pStyle w:val="Heading3"/>
      </w:pPr>
      <w:r>
        <w:t xml:space="preserve">DOF indexing: three small anonymous functions instead of bookkeeping arrays</w:t>
      </w:r>
    </w:p>
    <w:p>
      <w:pPr>
        <w:pStyle w:val="FirstParagraph"/>
      </w:pPr>
      <w:r>
        <w:t xml:space="preserve">Instead of maintaining an explicit lookup table for</w:t>
      </w:r>
      <w:r>
        <w:t xml:space="preserve"> </w:t>
      </w:r>
      <w:r>
        <w:t xml:space="preserve">“which row of K</w:t>
      </w:r>
      <w:r>
        <w:t xml:space="preserve"> </w:t>
      </w:r>
      <w:r>
        <w:t xml:space="preserve">corresponds to node (layer e, radial ir, axial iz), field theta/u/w”</w:t>
      </w:r>
      <w:r>
        <w:t xml:space="preserve">, the</w:t>
      </w:r>
      <w:r>
        <w:t xml:space="preserve"> </w:t>
      </w:r>
      <w:r>
        <w:t xml:space="preserve">solver defines three</w:t>
      </w:r>
      <w:r>
        <w:t xml:space="preserve"> </w:t>
      </w:r>
      <w:r>
        <w:rPr>
          <w:b/>
          <w:bCs/>
        </w:rPr>
        <w:t xml:space="preserve">anonymous functions</w:t>
      </w:r>
      <w:r>
        <w:t xml:space="preserve"> </w:t>
      </w:r>
      <w:r>
        <w:t xml:space="preserve">once, and calls them everywhere:</w:t>
      </w:r>
    </w:p>
    <w:p>
      <w:pPr>
        <w:pStyle w:val="SourceCode"/>
      </w:pPr>
      <w:r>
        <w:rPr>
          <w:rStyle w:val="VariableTok"/>
        </w:rPr>
        <w:t xml:space="preserve">Nn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% nodes per field</w:t>
      </w:r>
      <w:r>
        <w:br/>
      </w:r>
      <w:r>
        <w:rPr>
          <w:rStyle w:val="VariableTok"/>
        </w:rPr>
        <w:t xml:space="preserve">Ndof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% theta, u, w</w:t>
      </w:r>
      <w:r>
        <w:br/>
      </w:r>
      <w:r>
        <w:rPr>
          <w:rStyle w:val="VariableTok"/>
        </w:rPr>
        <w:t xml:space="preserve">idx_Th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      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idx_U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  </w:t>
      </w:r>
      <w:r>
        <w:rPr>
          <w:rStyle w:val="VariableTok"/>
        </w:rPr>
        <w:t xml:space="preserve">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idx_W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Every single assembly line reads as physics, not index arithmetic:</w:t>
      </w:r>
      <w:r>
        <w:t xml:space="preserve"> </w:t>
      </w:r>
      <w:r>
        <w:rPr>
          <w:rStyle w:val="VerbatimChar"/>
        </w:rPr>
        <w:t xml:space="preserve">K(idx_Th(e,ir,iz), idx_U(e,jr,iz)) = ...</w:t>
      </w:r>
      <w:r>
        <w:t xml:space="preserve">. This is a much better pattern</w:t>
      </w:r>
      <w:r>
        <w:t xml:space="preserve"> </w:t>
      </w:r>
      <w:r>
        <w:t xml:space="preserve">than writing the index formula out by hand at every call site (easy to typo)</w:t>
      </w:r>
      <w:r>
        <w:t xml:space="preserve"> </w:t>
      </w:r>
      <w:r>
        <w:t xml:space="preserve">or building a giant lookup array up front (wastes memory, adds a layer of</w:t>
      </w:r>
      <w:r>
        <w:t xml:space="preserve"> </w:t>
      </w:r>
      <w:r>
        <w:t xml:space="preserve">indirection). Use this pattern any time you have a structured (field ×</w:t>
      </w:r>
      <w:r>
        <w:t xml:space="preserve"> </w:t>
      </w:r>
      <w:r>
        <w:t xml:space="preserve">layer × node) unknown vector.</w:t>
      </w:r>
    </w:p>
    <w:bookmarkEnd w:id="10"/>
    <w:bookmarkStart w:id="11" w:name="X8c2d58fc273a1fdc04f0cf693592026b0bb0ef9"/>
    <w:p>
      <w:pPr>
        <w:pStyle w:val="Heading3"/>
      </w:pPr>
      <w:r>
        <w:t xml:space="preserve">Differential-quadrature weight matrices: build once per direction</w:t>
      </w:r>
    </w:p>
    <w:p>
      <w:pPr>
        <w:pStyle w:val="SourceCode"/>
      </w:pPr>
      <w:r>
        <w:rPr>
          <w:rStyle w:val="VariableTok"/>
        </w:rPr>
        <w:t xml:space="preserve">z_nodes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chebyshev_grid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A_z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B_z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DQ_weights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z_nodes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first &amp; second derivative operators</w:t>
      </w:r>
      <w:r>
        <w:br/>
      </w:r>
      <w:r>
        <w:rPr>
          <w:rStyle w:val="VariableTok"/>
        </w:rPr>
        <w:t xml:space="preserve">r_nodes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r_nodes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chebyshev_grid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R_bound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R_bound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A_r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DQ_weights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r_nodes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Style w:val="VerbatimChar"/>
        </w:rPr>
        <w:t xml:space="preserve">chebyshev_grid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DQ_weights</w:t>
      </w:r>
      <w:r>
        <w:t xml:space="preserve"> </w:t>
      </w:r>
      <w:r>
        <w:t xml:space="preserve">are the two</w:t>
      </w:r>
      <w:r>
        <w:t xml:space="preserve"> </w:t>
      </w:r>
      <w:r>
        <w:rPr>
          <w:b/>
          <w:bCs/>
        </w:rPr>
        <w:t xml:space="preserve">local helper functions</w:t>
      </w:r>
      <w:r>
        <w:t xml:space="preserve"> </w:t>
      </w:r>
      <w:r>
        <w:t xml:space="preserve">defined at the very bottom of the file (MATLAB requires local functions in a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— as opposed to a function file — to come after all script code;</w:t>
      </w:r>
      <w:r>
        <w:t xml:space="preserve"> </w:t>
      </w:r>
      <w:r>
        <w:t xml:space="preserve">this needs R2016b or later, see</w:t>
      </w:r>
      <w:r>
        <w:t xml:space="preserve"> </w:t>
      </w:r>
      <w:r>
        <w:rPr>
          <w:rStyle w:val="VerbatimChar"/>
        </w:rPr>
        <w:t xml:space="preserve">CODE_FIX_HISTORY_EN.md</w:t>
      </w:r>
      <w:r>
        <w:t xml:space="preserve"> </w:t>
      </w:r>
      <w:r>
        <w:t xml:space="preserve">for why that</w:t>
      </w:r>
      <w:r>
        <w:t xml:space="preserve"> </w:t>
      </w:r>
      <w:r>
        <w:t xml:space="preserve">matters for older MATLAB).</w:t>
      </w:r>
      <w:r>
        <w:t xml:space="preserve"> </w:t>
      </w:r>
      <w:r>
        <w:rPr>
          <w:rStyle w:val="VerbatimChar"/>
        </w:rPr>
        <w:t xml:space="preserve">A_r{e}</w:t>
      </w:r>
      <w:r>
        <w:t xml:space="preserve"> </w:t>
      </w:r>
      <w:r>
        <w:t xml:space="preserve">is the first-derivative matrix for layer</w:t>
      </w:r>
      <w:r>
        <w:t xml:space="preserve"> </w:t>
      </w:r>
      <w:r>
        <w:rPr>
          <w:rStyle w:val="VerbatimChar"/>
        </w:rPr>
        <w:t xml:space="preserve">e</w:t>
      </w:r>
      <w:r>
        <w:t xml:space="preserve">’s radial grid:</w:t>
      </w:r>
      <w:r>
        <w:t xml:space="preserve"> </w:t>
      </w:r>
      <w:r>
        <w:rPr>
          <w:rStyle w:val="VerbatimChar"/>
        </w:rPr>
        <w:t xml:space="preserve">dT/dr</w:t>
      </w:r>
      <w:r>
        <w:t xml:space="preserve"> </w:t>
      </w:r>
      <w:r>
        <w:t xml:space="preserve">at every node is just</w:t>
      </w:r>
      <w:r>
        <w:t xml:space="preserve"> </w:t>
      </w:r>
      <w:r>
        <w:rPr>
          <w:rStyle w:val="VerbatimChar"/>
        </w:rPr>
        <w:t xml:space="preserve">A_r{e} * T_layer_e</w:t>
      </w:r>
      <w:r>
        <w:t xml:space="preserve">, a</w:t>
      </w:r>
      <w:r>
        <w:t xml:space="preserve"> </w:t>
      </w:r>
      <w:r>
        <w:t xml:space="preserve">matrix-vector product, no finite-difference stencils to hand-derive. This is</w:t>
      </w:r>
      <w:r>
        <w:t xml:space="preserve"> </w:t>
      </w:r>
      <w:r>
        <w:t xml:space="preserve">the entire payoff of differential quadrature: turn</w:t>
      </w:r>
      <w:r>
        <w:t xml:space="preserve"> </w:t>
      </w:r>
      <w:r>
        <w:t xml:space="preserve">“write a derivative”</w:t>
      </w:r>
      <w:r>
        <w:t xml:space="preserve"> </w:t>
      </w:r>
      <w:r>
        <w:t xml:space="preserve">into</w:t>
      </w:r>
      <w:r>
        <w:t xml:space="preserve"> </w:t>
      </w:r>
      <w:r>
        <w:t xml:space="preserve">“multiply by a precomputed matrix.”</w:t>
      </w:r>
    </w:p>
    <w:bookmarkEnd w:id="11"/>
    <w:bookmarkStart w:id="12" w:name="Xcb3c15b08de18e6b23785decd6bf0c11d73efb1"/>
    <w:p>
      <w:pPr>
        <w:pStyle w:val="Heading3"/>
      </w:pPr>
      <w:r>
        <w:t xml:space="preserve">Per-layer effective properties: one loop, one set of formulas, called once</w:t>
      </w:r>
    </w:p>
    <w:p>
      <w:pPr>
        <w:pStyle w:val="FirstParagraph"/>
      </w:pPr>
      <w:r>
        <w:t xml:space="preserve">Section 3 computes seven effective properties (</w:t>
      </w:r>
      <w:r>
        <w:rPr>
          <w:rStyle w:val="VerbatimChar"/>
        </w:rPr>
        <w:t xml:space="preserve">E_L_, nu_L_, rho_L, c_L, k_L, al_L</w:t>
      </w:r>
      <w:r>
        <w:t xml:space="preserve">,</w:t>
      </w:r>
      <w:r>
        <w:t xml:space="preserve"> </w:t>
      </w:r>
      <w:r>
        <w:rPr>
          <w:rStyle w:val="VerbatimChar"/>
        </w:rPr>
        <w:t xml:space="preserve">NL</w:t>
      </w:r>
      <w:r>
        <w:t xml:space="preserve">-vectors) with a single</w:t>
      </w:r>
      <w:r>
        <w:t xml:space="preserve"> </w:t>
      </w:r>
      <w:r>
        <w:rPr>
          <w:rStyle w:val="VerbatimChar"/>
        </w:rPr>
        <w:t xml:space="preserve">for e = 1:NL</w:t>
      </w:r>
      <w:r>
        <w:t xml:space="preserve"> </w:t>
      </w:r>
      <w:r>
        <w:t xml:space="preserve">loop that applies</w:t>
      </w:r>
      <w:r>
        <w:t xml:space="preserve"> </w:t>
      </w:r>
      <w:r>
        <w:t xml:space="preserve">Halpin-Tsai + rule-of-mixtures + the open-cell porosity factor.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repeated inside the assembly loop — assembly (section 4) only ever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rPr>
          <w:rStyle w:val="VerbatimChar"/>
        </w:rPr>
        <w:t xml:space="preserve">C11(e)</w:t>
      </w:r>
      <w:r>
        <w:t xml:space="preserve">,</w:t>
      </w:r>
      <w:r>
        <w:t xml:space="preserve"> </w:t>
      </w:r>
      <w:r>
        <w:rPr>
          <w:rStyle w:val="VerbatimChar"/>
        </w:rPr>
        <w:t xml:space="preserve">k_L(e)</w:t>
      </w:r>
      <w:r>
        <w:t xml:space="preserve">, etc., it never recomputes them. Keeping</w:t>
      </w:r>
      <w:r>
        <w:t xml:space="preserve"> </w:t>
      </w:r>
      <w:r>
        <w:t xml:space="preserve">“compute material properties”</w:t>
      </w:r>
      <w:r>
        <w:t xml:space="preserve"> </w:t>
      </w:r>
      <w:r>
        <w:t xml:space="preserve">and</w:t>
      </w:r>
      <w:r>
        <w:t xml:space="preserve"> </w:t>
      </w:r>
      <w:r>
        <w:t xml:space="preserve">“use material properties”</w:t>
      </w:r>
      <w:r>
        <w:t xml:space="preserve"> </w:t>
      </w:r>
      <w:r>
        <w:t xml:space="preserve">as two separate,</w:t>
      </w:r>
      <w:r>
        <w:t xml:space="preserve"> </w:t>
      </w:r>
      <w:r>
        <w:t xml:space="preserve">sequential phases (rather than interleaving them) is what makes it possible</w:t>
      </w:r>
      <w:r>
        <w:t xml:space="preserve"> </w:t>
      </w:r>
      <w:r>
        <w:t xml:space="preserve">to unit-test material properties independently (see</w:t>
      </w:r>
      <w:r>
        <w:t xml:space="preserve"> </w:t>
      </w:r>
      <w:r>
        <w:rPr>
          <w:rStyle w:val="VerbatimChar"/>
        </w:rPr>
        <w:t xml:space="preserve">porosity_check_R3_1.m</w:t>
      </w:r>
      <w:r>
        <w:t xml:space="preserve">-style scripts) and what makes the assembly</w:t>
      </w:r>
      <w:r>
        <w:t xml:space="preserve"> </w:t>
      </w:r>
      <w:r>
        <w:t xml:space="preserve">loop itself easy to read.</w:t>
      </w:r>
    </w:p>
    <w:bookmarkEnd w:id="12"/>
    <w:bookmarkStart w:id="13" w:name="X9a57a8f5fb0fd6c70d46f47eafc560cf205232d"/>
    <w:p>
      <w:pPr>
        <w:pStyle w:val="Heading3"/>
      </w:pPr>
      <w:r>
        <w:t xml:space="preserve">Global assembly: constraint rows are just</w:t>
      </w:r>
      <w:r>
        <w:t xml:space="preserve"> </w:t>
      </w:r>
      <w:r>
        <w:t xml:space="preserve">“zero the row, write a new equation”</w:t>
      </w:r>
    </w:p>
    <w:p>
      <w:pPr>
        <w:pStyle w:val="FirstParagraph"/>
      </w:pPr>
      <w:r>
        <w:t xml:space="preserve">Every boundary condition or interface-continuity condition follows the same</w:t>
      </w:r>
      <w:r>
        <w:t xml:space="preserve"> </w:t>
      </w:r>
      <w:r>
        <w:t xml:space="preserve">three-line idiom:</w:t>
      </w:r>
    </w:p>
    <w:p>
      <w:pPr>
        <w:pStyle w:val="SourceCode"/>
      </w:pP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erase whatever the interior-PDE loop wrote here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% ... then write the real constraint equation</w:t>
      </w:r>
    </w:p>
    <w:p>
      <w:pPr>
        <w:pStyle w:val="FirstParagraph"/>
      </w:pPr>
      <w:r>
        <w:t xml:space="preserve">Because the interior-PDE loop (section 4.1) writes an equation into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row first (including rows that are actually boundary nodes), section 4.2</w:t>
      </w:r>
      <w:r>
        <w:t xml:space="preserve"> </w:t>
      </w:r>
      <w:r>
        <w:t xml:space="preserve">runs strictly afterward and</w:t>
      </w:r>
      <w:r>
        <w:t xml:space="preserve"> </w:t>
      </w:r>
      <w:r>
        <w:rPr>
          <w:b/>
          <w:bCs/>
        </w:rPr>
        <w:t xml:space="preserve">overwrites</w:t>
      </w:r>
      <w:r>
        <w:t xml:space="preserve"> </w:t>
      </w:r>
      <w:r>
        <w:t xml:space="preserve">those rows with the true boundary</w:t>
      </w:r>
      <w:r>
        <w:t xml:space="preserve"> </w:t>
      </w:r>
      <w:r>
        <w:t xml:space="preserve">equation. This ordering —</w:t>
      </w:r>
      <w:r>
        <w:t xml:space="preserve"> </w:t>
      </w:r>
      <w:r>
        <w:t xml:space="preserve">“assemble everything as if there were no boundary,</w:t>
      </w:r>
      <w:r>
        <w:t xml:space="preserve"> </w:t>
      </w:r>
      <w:r>
        <w:t xml:space="preserve">then stamp the boundary equations on top”</w:t>
      </w:r>
      <w:r>
        <w:t xml:space="preserve"> </w:t>
      </w:r>
      <w:r>
        <w:t xml:space="preserve">— is simpler than trying to special</w:t>
      </w:r>
      <w:r>
        <w:t xml:space="preserve"> </w:t>
      </w:r>
      <w:r>
        <w:t xml:space="preserve">-case boundary nodes inside the interior loop, and it generalizes cleanly:</w:t>
      </w:r>
      <w:r>
        <w:t xml:space="preserve"> </w:t>
      </w:r>
      <w:r>
        <w:t xml:space="preserve">adding a new boundary-condition type (</w:t>
      </w:r>
      <w:r>
        <w:rPr>
          <w:rStyle w:val="VerbatimChar"/>
        </w:rPr>
        <w:t xml:space="preserve">LSTE_solver_R3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T_BC_in='flux'</w:t>
      </w:r>
      <w:r>
        <w:t xml:space="preserve">, for</w:t>
      </w:r>
      <w:r>
        <w:t xml:space="preserve"> </w:t>
      </w:r>
      <w:r>
        <w:t xml:space="preserve">example) means adding one more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branch in section 4.2, with zero</w:t>
      </w:r>
      <w:r>
        <w:t xml:space="preserve"> </w:t>
      </w:r>
      <w:r>
        <w:t xml:space="preserve">changes to section 4.1.</w:t>
      </w:r>
    </w:p>
    <w:bookmarkEnd w:id="13"/>
    <w:bookmarkStart w:id="14" w:name="X56f6186b0e8c649a6fe5f38e8453ef13535ce69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struct: run 100 variants without editing the file 100 times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'cfg'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'var'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isstruct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fieldnames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exist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iov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'cfg field "%s" does not match any configuration variable...'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iov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eval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iov</w:t>
      </w:r>
      <w:r>
        <w:rPr>
          <w:rStyle w:val="NormalTok"/>
        </w:rPr>
        <w:t xml:space="preserve">} </w:t>
      </w:r>
      <w:r>
        <w:rPr>
          <w:rStyle w:val="SpecialStringTok"/>
        </w:rPr>
        <w:t xml:space="preserve">' = cfg.(fn{iov});'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Any script variable declared in section 0–2 (e.g. </w:t>
      </w:r>
      <w:r>
        <w:rPr>
          <w:rStyle w:val="VerbatimChar"/>
        </w:rPr>
        <w:t xml:space="preserve">tau0</w:t>
      </w:r>
      <w:r>
        <w:t xml:space="preserve">,</w:t>
      </w:r>
      <w:r>
        <w:t xml:space="preserve"> </w:t>
      </w:r>
      <w:r>
        <w:rPr>
          <w:rStyle w:val="VerbatimChar"/>
        </w:rPr>
        <w:t xml:space="preserve">NL</w:t>
      </w:r>
      <w:r>
        <w:t xml:space="preserve">,</w:t>
      </w:r>
      <w:r>
        <w:t xml:space="preserve"> </w:t>
      </w:r>
      <w:r>
        <w:rPr>
          <w:rStyle w:val="VerbatimChar"/>
        </w:rPr>
        <w:t xml:space="preserve">R_i</w:t>
      </w:r>
      <w:r>
        <w:t xml:space="preserve">,</w:t>
      </w:r>
      <w:r>
        <w:t xml:space="preserve"> </w:t>
      </w:r>
      <w:r>
        <w:rPr>
          <w:rStyle w:val="VerbatimChar"/>
        </w:rPr>
        <w:t xml:space="preserve">GPL_pattern</w:t>
      </w:r>
      <w:r>
        <w:t xml:space="preserve">) can be overridden from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file, without touching</w:t>
      </w:r>
      <w:r>
        <w:t xml:space="preserve"> </w:t>
      </w:r>
      <w:r>
        <w:t xml:space="preserve">it, by building a struct and running the solver as a script:</w:t>
      </w:r>
    </w:p>
    <w:p>
      <w:pPr>
        <w:pStyle w:val="SourceCode"/>
      </w:pP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'porosity_pattern'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'tau0'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LSTE_solver_R8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note: no parentheses, no output args — this RUNS the script</w:t>
      </w:r>
    </w:p>
    <w:p>
      <w:pPr>
        <w:pStyle w:val="FirstParagraph"/>
      </w:pPr>
      <w:r>
        <w:t xml:space="preserve">This is how the whole 86-case parametric campaign (</w:t>
      </w:r>
      <w:r>
        <w:rPr>
          <w:rStyle w:val="VerbatimChar"/>
        </w:rPr>
        <w:t xml:space="preserve">param_studies_ch4/</w:t>
      </w:r>
      <w:r>
        <w:t xml:space="preserve">)</w:t>
      </w:r>
      <w:r>
        <w:t xml:space="preserve"> </w:t>
      </w:r>
      <w:r>
        <w:t xml:space="preserve">works — one script (</w:t>
      </w:r>
      <w:r>
        <w:rPr>
          <w:rStyle w:val="VerbatimChar"/>
        </w:rPr>
        <w:t xml:space="preserve">run_ch4_campaign.ps1</w:t>
      </w:r>
      <w:r>
        <w:t xml:space="preserve">) loops over case definitions and</w:t>
      </w:r>
      <w:r>
        <w:t xml:space="preserve"> </w:t>
      </w:r>
      <w:r>
        <w:t xml:space="preserve">calls the solver once per case with a different</w:t>
      </w:r>
      <w:r>
        <w:t xml:space="preserve"> </w:t>
      </w:r>
      <w:r>
        <w:rPr>
          <w:rStyle w:val="VerbatimChar"/>
        </w:rPr>
        <w:t xml:space="preserve">cfg</w:t>
      </w:r>
      <w:r>
        <w:t xml:space="preserve">, never editing</w:t>
      </w:r>
      <w:r>
        <w:t xml:space="preserve"> </w:t>
      </w:r>
      <w:r>
        <w:rPr>
          <w:rStyle w:val="VerbatimChar"/>
        </w:rPr>
        <w:t xml:space="preserve">LSTE_solver_R8.m</w:t>
      </w:r>
      <w:r>
        <w:t xml:space="preserve"> </w:t>
      </w:r>
      <w:r>
        <w:t xml:space="preserve">itself. The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on unknown field names exists because</w:t>
      </w:r>
      <w:r>
        <w:t xml:space="preserve"> </w:t>
      </w:r>
      <w:r>
        <w:t xml:space="preserve">this pattern has a sharp edge: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will silently do nothing useful if you</w:t>
      </w:r>
      <w:r>
        <w:t xml:space="preserve"> </w:t>
      </w:r>
      <w:r>
        <w:t xml:space="preserve">typo a field name (</w:t>
      </w:r>
      <w:r>
        <w:rPr>
          <w:rStyle w:val="VerbatimChar"/>
        </w:rPr>
        <w:t xml:space="preserve">cfg.N_L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cfg.NL</w:t>
      </w:r>
      <w:r>
        <w:t xml:space="preserve">, say) — the warning is</w:t>
      </w:r>
      <w:r>
        <w:t xml:space="preserve"> </w:t>
      </w:r>
      <w:r>
        <w:t xml:space="preserve">what catches that instead of a silently-wrong run.</w:t>
      </w:r>
    </w:p>
    <w:p>
      <w:pPr>
        <w:pStyle w:val="BodyText"/>
      </w:pPr>
      <w:r>
        <w:rPr>
          <w:b/>
          <w:bCs/>
        </w:rPr>
        <w:t xml:space="preserve">Important gotcha reused everywhere in this 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LSTE_solver_R8;</w:t>
      </w:r>
      <w:r>
        <w:t xml:space="preserve"> </w:t>
      </w:r>
      <w:r>
        <w:t xml:space="preserve">runs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clearvars -except cfg</w:t>
      </w:r>
      <w:r>
        <w:t xml:space="preserve"> </w:t>
      </w:r>
      <w:r>
        <w:t xml:space="preserve">at the top, so it inherits nothing from your</w:t>
      </w:r>
      <w:r>
        <w:t xml:space="preserve"> </w:t>
      </w:r>
      <w:r>
        <w:t xml:space="preserve">workspace except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— and if you call it via MATLAB’s</w:t>
      </w:r>
      <w:r>
        <w:t xml:space="preserve"> </w:t>
      </w:r>
      <w:r>
        <w:rPr>
          <w:rStyle w:val="VerbatimChar"/>
        </w:rPr>
        <w:t xml:space="preserve">run('full/path/to/ LSTE_solver_R8.m')</w:t>
      </w:r>
      <w:r>
        <w:t xml:space="preserve"> </w:t>
      </w:r>
      <w:r>
        <w:t xml:space="preserve">(rather than having it on the MATLAB path and calling it by</w:t>
      </w:r>
      <w:r>
        <w:t xml:space="preserve"> </w:t>
      </w:r>
      <w:r>
        <w:t xml:space="preserve">name),</w:t>
      </w:r>
      <w:r>
        <w:t xml:space="preserve"> </w:t>
      </w:r>
      <w:r>
        <w:rPr>
          <w:b/>
          <w:bCs/>
        </w:rPr>
        <w:t xml:space="preserve">MATLAB changes the current directory to the script’s own folder</w:t>
      </w:r>
      <w:r>
        <w:t xml:space="preserve"> </w:t>
      </w:r>
      <w:r>
        <w:t xml:space="preserve">before running. Any relative path inside the script (</w:t>
      </w:r>
      <w:r>
        <w:rPr>
          <w:rStyle w:val="VerbatimChar"/>
        </w:rPr>
        <w:t xml:space="preserve">outdir = 'figures_ch4'</w:t>
      </w:r>
      <w:r>
        <w:t xml:space="preserve">) then resolves against the</w:t>
      </w:r>
      <w:r>
        <w:t xml:space="preserve"> </w:t>
      </w:r>
      <w:r>
        <w:rPr>
          <w:i/>
          <w:iCs/>
        </w:rPr>
        <w:t xml:space="preserve">script’s</w:t>
      </w:r>
      <w:r>
        <w:t xml:space="preserve"> </w:t>
      </w:r>
      <w:r>
        <w:t xml:space="preserve">folder, not wherever</w:t>
      </w:r>
      <w:r>
        <w:t xml:space="preserve"> </w:t>
      </w:r>
      <w:r>
        <w:t xml:space="preserve">you started from. Every script in this project that writes output uses an</w:t>
      </w:r>
      <w:r>
        <w:t xml:space="preserve"> </w:t>
      </w:r>
      <w:r>
        <w:t xml:space="preserve">absolute path for exactly this reason — see §5.</w:t>
      </w:r>
    </w:p>
    <w:bookmarkEnd w:id="14"/>
    <w:bookmarkEnd w:id="15"/>
    <w:bookmarkStart w:id="16" w:name="validation-scripts-codevalidation.m"/>
    <w:p>
      <w:pPr>
        <w:pStyle w:val="Heading2"/>
      </w:pPr>
      <w:r>
        <w:t xml:space="preserve">3. Validation scripts (</w:t>
      </w:r>
      <w:r>
        <w:rPr>
          <w:rStyle w:val="VerbatimChar"/>
        </w:rPr>
        <w:t xml:space="preserve">code/validation/*.m</w:t>
      </w:r>
      <w:r>
        <w:t xml:space="preserve">)</w:t>
      </w:r>
    </w:p>
    <w:p>
      <w:pPr>
        <w:pStyle w:val="FirstParagraph"/>
      </w:pPr>
      <w:r>
        <w:t xml:space="preserve">The pattern for a benchmark script is always:</w:t>
      </w:r>
      <w:r>
        <w:t xml:space="preserve"> </w:t>
      </w:r>
      <w:r>
        <w:rPr>
          <w:b/>
          <w:bCs/>
        </w:rPr>
        <w:t xml:space="preserve">compute an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answer, run the solver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cfg</w:t>
      </w:r>
      <w:r>
        <w:rPr>
          <w:b/>
          <w:bCs/>
        </w:rPr>
        <w:t xml:space="preserve">, compare, report a relative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— never</w:t>
      </w:r>
      <w:r>
        <w:t xml:space="preserve"> </w:t>
      </w:r>
      <w:r>
        <w:t xml:space="preserve">“eyeball a plot and decide it looks right.”</w:t>
      </w:r>
    </w:p>
    <w:p>
      <w:pPr>
        <w:pStyle w:val="SourceCode"/>
      </w:pP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'N_r'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'theory'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'FOURIER'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match the paper's case</w:t>
      </w:r>
      <w:r>
        <w:br/>
      </w:r>
      <w:r>
        <w:rPr>
          <w:rStyle w:val="VariableTok"/>
        </w:rPr>
        <w:t xml:space="preserve">LSTE_solver_R2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% run the solver with this cfg</w:t>
      </w:r>
      <w:r>
        <w:br/>
      </w:r>
      <w:r>
        <w:rPr>
          <w:rStyle w:val="CommentTok"/>
        </w:rPr>
        <w:t xml:space="preserve">% ... independent reference values, either analytic or digitized from a paper's table ...</w:t>
      </w:r>
      <w:r>
        <w:br/>
      </w:r>
      <w:r>
        <w:rPr>
          <w:rStyle w:val="VariableTok"/>
        </w:rPr>
        <w:t xml:space="preserve">err_pct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U_solver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U_paper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U_paper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 error vs paper: %.3f%%\n'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err_pct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solver is never modified to</w:t>
      </w:r>
      <w:r>
        <w:t xml:space="preserve"> </w:t>
      </w:r>
      <w:r>
        <w:t xml:space="preserve">“pass”</w:t>
      </w:r>
      <w:r>
        <w:t xml:space="preserve"> </w:t>
      </w:r>
      <w:r>
        <w:t xml:space="preserve">a benchmark — if a benchmark</w:t>
      </w:r>
      <w:r>
        <w:t xml:space="preserve"> </w:t>
      </w:r>
      <w:r>
        <w:t xml:space="preserve">disagrees, the fix goes into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solver revision (with the</w:t>
      </w:r>
      <w:r>
        <w:t xml:space="preserve"> </w:t>
      </w:r>
      <w:r>
        <w:t xml:space="preserve">benchmark re-run to confirm), and the disagreement plus fix are documented</w:t>
      </w:r>
      <w:r>
        <w:t xml:space="preserve"> </w:t>
      </w:r>
      <w:r>
        <w:t xml:space="preserve">in that revision’s header, the same way</w:t>
      </w:r>
      <w:r>
        <w:t xml:space="preserve"> </w:t>
      </w:r>
      <w:r>
        <w:rPr>
          <w:rStyle w:val="VerbatimChar"/>
        </w:rPr>
        <w:t xml:space="preserve">LSTE_solver_R1.m</w:t>
      </w:r>
      <w:r>
        <w:t xml:space="preserve">’s header documents</w:t>
      </w:r>
      <w:r>
        <w:t xml:space="preserve"> </w:t>
      </w:r>
      <w:r>
        <w:t xml:space="preserve">the four bugs found in the original</w:t>
      </w:r>
      <w:r>
        <w:t xml:space="preserve"> </w:t>
      </w:r>
      <w:r>
        <w:rPr>
          <w:rStyle w:val="VerbatimChar"/>
        </w:rPr>
        <w:t xml:space="preserve">Main_Dyn.m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CODE_FIX_HISTORY_EN.md</w:t>
      </w:r>
      <w:r>
        <w:t xml:space="preserve">). Six independent benchmarks currently exist,</w:t>
      </w:r>
      <w:r>
        <w:t xml:space="preserve"> </w:t>
      </w:r>
      <w:r>
        <w:t xml:space="preserve">each stressing a different part of the physics: a pure-static limit, two</w:t>
      </w:r>
      <w:r>
        <w:t xml:space="preserve"> </w:t>
      </w:r>
      <w:r>
        <w:t xml:space="preserve">literature comparisons (with a reported ANSYS column), an exact</w:t>
      </w:r>
      <w:r>
        <w:t xml:space="preserve"> </w:t>
      </w:r>
      <w:r>
        <w:t xml:space="preserve">Bessel-series transient-conduction solution, a Newmark-vs-</w:t>
      </w:r>
      <w:r>
        <w:rPr>
          <w:rStyle w:val="VerbatimChar"/>
        </w:rPr>
        <w:t xml:space="preserve">ode15s</w:t>
      </w:r>
      <w:r>
        <w:t xml:space="preserve"> </w:t>
      </w:r>
      <w:r>
        <w:t xml:space="preserve">check,</w:t>
      </w:r>
      <w:r>
        <w:t xml:space="preserve"> </w:t>
      </w:r>
      <w:r>
        <w:t xml:space="preserve">and a published Lord-Shulman wave benchmark. New features should, where</w:t>
      </w:r>
      <w:r>
        <w:t xml:space="preserve"> </w:t>
      </w:r>
      <w:r>
        <w:t xml:space="preserve">possible, get a new benchmark rather than relying on the old ones (a new</w:t>
      </w:r>
      <w:r>
        <w:t xml:space="preserve"> </w:t>
      </w:r>
      <w:r>
        <w:t xml:space="preserve">boundary-condition type isn’t exercised by a benchmark that never uses it).</w:t>
      </w:r>
    </w:p>
    <w:bookmarkEnd w:id="16"/>
    <w:bookmarkStart w:id="17" w:name="X8d32338a1b5c0f380d50c8524d92a84feb92b88"/>
    <w:p>
      <w:pPr>
        <w:pStyle w:val="Heading2"/>
      </w:pPr>
      <w:r>
        <w:t xml:space="preserve">4. Catalog / figure-generation scripts (</w:t>
      </w:r>
      <w:r>
        <w:rPr>
          <w:rStyle w:val="VerbatimChar"/>
        </w:rPr>
        <w:t xml:space="preserve">code/catalog/*.m</w:t>
      </w:r>
      <w:r>
        <w:t xml:space="preserve">)</w:t>
      </w:r>
    </w:p>
    <w:p>
      <w:pPr>
        <w:pStyle w:val="FirstParagraph"/>
      </w:pPr>
      <w:r>
        <w:t xml:space="preserve">These scripts never compute physics — they only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files</w:t>
      </w:r>
      <w:r>
        <w:t xml:space="preserve"> </w:t>
      </w:r>
      <w:r>
        <w:t xml:space="preserve">the solver already saved (into</w:t>
      </w:r>
      <w:r>
        <w:t xml:space="preserve"> </w:t>
      </w:r>
      <w:r>
        <w:rPr>
          <w:rStyle w:val="VerbatimChar"/>
        </w:rPr>
        <w:t xml:space="preserve">param_studies_ch4/</w:t>
      </w:r>
      <w:r>
        <w:t xml:space="preserve">) and turn saved numbers</w:t>
      </w:r>
      <w:r>
        <w:t xml:space="preserve"> </w:t>
      </w:r>
      <w:r>
        <w:t xml:space="preserve">into dimensionless plots. The recurring skeleton:</w:t>
      </w:r>
    </w:p>
    <w:p>
      <w:pPr>
        <w:pStyle w:val="SourceCode"/>
      </w:pPr>
      <w:r>
        <w:rPr>
          <w:rStyle w:val="VariableTok"/>
        </w:rPr>
        <w:t xml:space="preserve">CLROOT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'c:/.../claude'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% absolute — see the run() gotcha above</w:t>
      </w:r>
      <w:r>
        <w:br/>
      </w:r>
      <w:r>
        <w:rPr>
          <w:rStyle w:val="VariableTok"/>
        </w:rPr>
        <w:t xml:space="preserve">pdir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fullfile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CLROOT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'param_studies_ch4'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where to read cases from</w:t>
      </w:r>
      <w:r>
        <w:br/>
      </w:r>
      <w:r>
        <w:rPr>
          <w:rStyle w:val="VariableTok"/>
        </w:rPr>
        <w:t xml:space="preserve">cdir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fullfile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CLROOT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'figures_ch4'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where to write PNGs to</w:t>
      </w:r>
      <w:r>
        <w:br/>
      </w:r>
      <w:r>
        <w:br/>
      </w:r>
      <w:r>
        <w:rPr>
          <w:rStyle w:val="VariableTok"/>
        </w:rPr>
        <w:t xml:space="preserve">ahat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8.9708e-5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4.433e9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FIXED reference material props,</w:t>
      </w:r>
      <w:r>
        <w:br/>
      </w:r>
      <w:r>
        <w:rPr>
          <w:rStyle w:val="VariableTok"/>
        </w:rPr>
        <w:t xml:space="preserve">Fo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ahat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./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% used for EVERY case so curves</w:t>
      </w:r>
      <w:r>
        <w:br/>
      </w:r>
      <w:r>
        <w:rPr>
          <w:rStyle w:val="VariableTok"/>
        </w:rPr>
        <w:t xml:space="preserve">Tst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  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T_inf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./</w:t>
      </w:r>
      <w:r>
        <w:rPr>
          <w:rStyle w:val="VariableTok"/>
        </w:rPr>
        <w:t xml:space="preserve">T_inf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% are directly comparable — never</w:t>
      </w:r>
      <w:r>
        <w:br/>
      </w:r>
      <w:r>
        <w:rPr>
          <w:rStyle w:val="VariableTok"/>
        </w:rPr>
        <w:t xml:space="preserve">Ust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nu_ref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alp_ref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T_inf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% re-derived per case</w:t>
      </w:r>
      <w:r>
        <w:br/>
      </w:r>
      <w:r>
        <w:rPr>
          <w:rStyle w:val="VariableTok"/>
        </w:rPr>
        <w:t xml:space="preserve">Sst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)  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nu_ref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E_ref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alp_ref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T_inf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cases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load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fullfile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cases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ci</w:t>
      </w:r>
      <w:r>
        <w:rPr>
          <w:rStyle w:val="NormalTok"/>
        </w:rPr>
        <w:t xml:space="preserve">} </w:t>
      </w:r>
      <w:r>
        <w:rPr>
          <w:rStyle w:val="SpecialStringTok"/>
        </w:rPr>
        <w:t xml:space="preserve">'.mat'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hist_T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ci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Two style rules, applied uniformly across every catalog script this session: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title()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sgtitle()</w:t>
      </w:r>
      <w:r>
        <w:rPr>
          <w:b/>
          <w:bCs/>
        </w:rPr>
        <w:t xml:space="preserve">/floating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text()</w:t>
      </w:r>
      <w:r>
        <w:rPr>
          <w:b/>
          <w:bCs/>
        </w:rPr>
        <w:t xml:space="preserve"> </w:t>
      </w:r>
      <w:r>
        <w:rPr>
          <w:b/>
          <w:bCs/>
        </w:rPr>
        <w:t xml:space="preserve">annotations</w:t>
      </w:r>
      <w:r>
        <w:t xml:space="preserve"> </w:t>
      </w:r>
      <w:r>
        <w:t xml:space="preserve">— only axis</w:t>
      </w:r>
      <w:r>
        <w:t xml:space="preserve"> </w:t>
      </w:r>
      <w:r>
        <w:t xml:space="preserve">labels, tick labels, and legends. Figure numbers and captions belong in</w:t>
      </w:r>
      <w:r>
        <w:t xml:space="preserve"> </w:t>
      </w:r>
      <w:r>
        <w:t xml:space="preserve">the thesis text, not baked into the image. (Two narrow, deliberate</w:t>
      </w:r>
      <w:r>
        <w:t xml:space="preserve"> </w:t>
      </w:r>
      <w:r>
        <w:t xml:space="preserve">exceptions: box-and-arrow diagrams where the text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content — see</w:t>
      </w:r>
      <w:r>
        <w:t xml:space="preserve"> </w:t>
      </w:r>
      <w:r>
        <w:rPr>
          <w:rStyle w:val="VerbatimChar"/>
        </w:rPr>
        <w:t xml:space="preserve">ch123_figs.m</w:t>
      </w:r>
      <w:r>
        <w:t xml:space="preserve">’s flowchart/taxonomy figures — and per-cell</w:t>
      </w:r>
      <w:r>
        <w:t xml:space="preserve"> </w:t>
      </w:r>
      <w:r>
        <w:t xml:space="preserve">identity labels in the 25-panel GPL×porosity matrix, where the label is</w:t>
      </w:r>
      <w:r>
        <w:t xml:space="preserve"> </w:t>
      </w:r>
      <w:r>
        <w:t xml:space="preserve">structural, not decorative.)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Color figures use solid lines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'-'</w:t>
      </w:r>
      <w:r>
        <w:t xml:space="preserve">); curves are told apart by</w:t>
      </w:r>
      <w:r>
        <w:t xml:space="preserve"> </w:t>
      </w:r>
      <w:r>
        <w:t xml:space="preserve">color and marker shape.</w:t>
      </w:r>
      <w:r>
        <w:t xml:space="preserve"> </w:t>
      </w:r>
      <w:r>
        <w:rPr>
          <w:b/>
          <w:bCs/>
        </w:rPr>
        <w:t xml:space="preserve">B&amp;W/print figures</w:t>
      </w:r>
      <w:r>
        <w:t xml:space="preserve"> </w:t>
      </w:r>
      <w:r>
        <w:t xml:space="preserve">(recognizable by a</w:t>
      </w:r>
      <w:r>
        <w:t xml:space="preserve"> </w:t>
      </w:r>
      <w:r>
        <w:t xml:space="preserve">grayscale</w:t>
      </w:r>
      <w:r>
        <w:t xml:space="preserve"> </w:t>
      </w:r>
      <w:r>
        <w:rPr>
          <w:rStyle w:val="VerbatimChar"/>
        </w:rPr>
        <w:t xml:space="preserve">STY.co</w:t>
      </w:r>
      <w:r>
        <w:t xml:space="preserve">/</w:t>
      </w:r>
      <w:r>
        <w:rPr>
          <w:rStyle w:val="VerbatimChar"/>
        </w:rPr>
        <w:t xml:space="preserve">CO</w:t>
      </w:r>
      <w:r>
        <w:t xml:space="preserve"> </w:t>
      </w:r>
      <w:r>
        <w:t xml:space="preserve">palette) are the one place varied line styles</w:t>
      </w:r>
      <w:r>
        <w:t xml:space="preserve"> </w:t>
      </w:r>
      <w:r>
        <w:t xml:space="preserve">(</w:t>
      </w:r>
      <w:r>
        <w:rPr>
          <w:rStyle w:val="VerbatimChar"/>
        </w:rPr>
        <w:t xml:space="preserve">'--'</w:t>
      </w:r>
      <w:r>
        <w:t xml:space="preserve">,</w:t>
      </w:r>
      <w:r>
        <w:t xml:space="preserve"> </w:t>
      </w:r>
      <w:r>
        <w:rPr>
          <w:rStyle w:val="VerbatimChar"/>
        </w:rPr>
        <w:t xml:space="preserve">':'</w:t>
      </w:r>
      <w:r>
        <w:t xml:space="preserve">,</w:t>
      </w:r>
      <w:r>
        <w:t xml:space="preserve"> </w:t>
      </w:r>
      <w:r>
        <w:rPr>
          <w:rStyle w:val="VerbatimChar"/>
        </w:rPr>
        <w:t xml:space="preserve">'-.'</w:t>
      </w:r>
      <w:r>
        <w:t xml:space="preserve">) are legitimate, because color isn’t available to</w:t>
      </w:r>
      <w:r>
        <w:t xml:space="preserve"> </w:t>
      </w:r>
      <w:r>
        <w:t xml:space="preserve">distinguish curves there.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STY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BW</w:t>
      </w:r>
      <w:r>
        <w:t xml:space="preserve">) struct bundling</w:t>
      </w:r>
      <w:r>
        <w:t xml:space="preserve"> </w:t>
      </w:r>
      <w:r>
        <w:rPr>
          <w:rStyle w:val="VerbatimChar"/>
        </w:rPr>
        <w:t xml:space="preserve">co</w:t>
      </w:r>
      <w:r>
        <w:t xml:space="preserve"> </w:t>
      </w:r>
      <w:r>
        <w:t xml:space="preserve">(colors),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(line styles),</w:t>
      </w:r>
      <w:r>
        <w:t xml:space="preserve"> </w:t>
      </w:r>
      <w:r>
        <w:rPr>
          <w:rStyle w:val="VerbatimChar"/>
        </w:rPr>
        <w:t xml:space="preserve">mk</w:t>
      </w:r>
      <w:r>
        <w:t xml:space="preserve"> </w:t>
      </w:r>
      <w:r>
        <w:t xml:space="preserve">(markers),</w:t>
      </w:r>
      <w:r>
        <w:t xml:space="preserve"> </w:t>
      </w:r>
      <w:r>
        <w:rPr>
          <w:rStyle w:val="VerbatimChar"/>
        </w:rPr>
        <w:t xml:space="preserve">lw</w:t>
      </w:r>
      <w:r>
        <w:t xml:space="preserve"> </w:t>
      </w:r>
      <w:r>
        <w:t xml:space="preserve">(line widths) as parallel cell arrays, indexed by</w:t>
      </w:r>
      <w:r>
        <w:t xml:space="preserve"> </w:t>
      </w:r>
      <w:r>
        <w:rPr>
          <w:rStyle w:val="VerbatimChar"/>
        </w:rPr>
        <w:t xml:space="preserve">mod(ci-1,N)+1</w:t>
      </w:r>
      <w:r>
        <w:t xml:space="preserve">, is the standard way to keep five-curve comparison plots</w:t>
      </w:r>
      <w:r>
        <w:t xml:space="preserve"> </w:t>
      </w:r>
      <w:r>
        <w:t xml:space="preserve">visually consistent across dozens of figures without repeating the same</w:t>
      </w:r>
      <w:r>
        <w:t xml:space="preserve"> </w:t>
      </w:r>
      <w:r>
        <w:t xml:space="preserve">five</w:t>
      </w:r>
      <w:r>
        <w:t xml:space="preserve"> </w:t>
      </w:r>
      <w:r>
        <w:rPr>
          <w:rStyle w:val="VerbatimChar"/>
        </w:rPr>
        <w:t xml:space="preserve">plot(...)</w:t>
      </w:r>
      <w:r>
        <w:t xml:space="preserve"> </w:t>
      </w:r>
      <w:r>
        <w:t xml:space="preserve">calls everywhere — write a small</w:t>
      </w:r>
      <w:r>
        <w:t xml:space="preserve"> </w:t>
      </w:r>
      <w:r>
        <w:rPr>
          <w:rStyle w:val="VerbatimChar"/>
        </w:rPr>
        <w:t xml:space="preserve">curve(x,y,ci,STY)</w:t>
      </w:r>
      <w:r>
        <w:t xml:space="preserve"> </w:t>
      </w:r>
      <w:r>
        <w:t xml:space="preserve">helper</w:t>
      </w:r>
      <w:r>
        <w:t xml:space="preserve"> </w:t>
      </w:r>
      <w:r>
        <w:t xml:space="preserve">once, call it from every figure.</w:t>
      </w:r>
    </w:p>
    <w:bookmarkEnd w:id="17"/>
    <w:bookmarkStart w:id="18" w:name="Xab4a1a8b7b5266ec61b875b607f33f123516129"/>
    <w:p>
      <w:pPr>
        <w:pStyle w:val="Heading2"/>
      </w:pPr>
      <w:r>
        <w:t xml:space="preserve">5. Cross-cutting conventions worth copying into your own scripts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Absolute paths for anything invoked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run()</w:t>
      </w:r>
      <w:r>
        <w:rPr>
          <w:b/>
          <w:bCs/>
        </w:rPr>
        <w:t xml:space="preserve">.</w:t>
      </w:r>
      <w:r>
        <w:t xml:space="preserve"> </w:t>
      </w:r>
      <w:r>
        <w:t xml:space="preserve">Never write</w:t>
      </w:r>
      <w:r>
        <w:t xml:space="preserve"> </w:t>
      </w:r>
      <w:r>
        <w:rPr>
          <w:rStyle w:val="VerbatimChar"/>
        </w:rPr>
        <w:t xml:space="preserve">pdir = 'param_studies_ch4'</w:t>
      </w:r>
      <w:r>
        <w:t xml:space="preserve">; write</w:t>
      </w:r>
      <w:r>
        <w:t xml:space="preserve"> </w:t>
      </w:r>
      <w:r>
        <w:rPr>
          <w:rStyle w:val="VerbatimChar"/>
        </w:rPr>
        <w:t xml:space="preserve">pdir = fullfile(CLROOT, 'param_studies_ch4')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CLROOT</w:t>
      </w:r>
      <w:r>
        <w:t xml:space="preserve"> </w:t>
      </w:r>
      <w:r>
        <w:t xml:space="preserve">a full,</w:t>
      </w:r>
      <w:r>
        <w:t xml:space="preserve"> </w:t>
      </w:r>
      <w:r>
        <w:t xml:space="preserve">absolute path defined at the top of the script. This one habit prevents</w:t>
      </w:r>
      <w:r>
        <w:t xml:space="preserve"> </w:t>
      </w:r>
      <w:r>
        <w:t xml:space="preserve">an entire class of</w:t>
      </w:r>
      <w:r>
        <w:t xml:space="preserve"> </w:t>
      </w:r>
      <w:r>
        <w:t xml:space="preserve">“my script silently wrote to the wrong folder”</w:t>
      </w:r>
      <w:r>
        <w:t xml:space="preserve"> </w:t>
      </w:r>
      <w:r>
        <w:t xml:space="preserve">bugs —</w:t>
      </w:r>
      <w:r>
        <w:t xml:space="preserve"> </w:t>
      </w:r>
      <w:r>
        <w:t xml:space="preserve">it happened twice this session (</w:t>
      </w:r>
      <w:r>
        <w:rPr>
          <w:rStyle w:val="VerbatimChar"/>
        </w:rPr>
        <w:t xml:space="preserve">chapter_stats_ch4.m</w:t>
      </w:r>
      <w:r>
        <w:t xml:space="preserve"> </w:t>
      </w:r>
      <w:r>
        <w:t xml:space="preserve">and four</w:t>
      </w:r>
      <w:r>
        <w:t xml:space="preserve"> </w:t>
      </w:r>
      <w:r>
        <w:t xml:space="preserve">catalog scripts) before becoming a hard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helper functions at the end of the file</w:t>
      </w:r>
      <w:r>
        <w:t xml:space="preserve">, with a comment marking</w:t>
      </w:r>
      <w:r>
        <w:t xml:space="preserve"> </w:t>
      </w:r>
      <w:r>
        <w:t xml:space="preserve">the boundary (</w:t>
      </w:r>
      <w:r>
        <w:rPr>
          <w:rStyle w:val="VerbatimChar"/>
        </w:rPr>
        <w:t xml:space="preserve">%% ---- local helper functions (must be at end of a script) ----</w:t>
      </w:r>
      <w:r>
        <w:t xml:space="preserve">). Keeps the</w:t>
      </w:r>
      <w:r>
        <w:t xml:space="preserve"> </w:t>
      </w:r>
      <w:r>
        <w:t xml:space="preserve">“what does this script actually do”</w:t>
      </w:r>
      <w:r>
        <w:t xml:space="preserve"> </w:t>
      </w:r>
      <w:r>
        <w:t xml:space="preserve">narrative at</w:t>
      </w:r>
      <w:r>
        <w:t xml:space="preserve"> </w:t>
      </w:r>
      <w:r>
        <w:t xml:space="preserve">the top, implementation details at the bottom.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 comments as a running changelog</w:t>
      </w:r>
      <w:r>
        <w:t xml:space="preserve">, not just a one-line</w:t>
      </w:r>
      <w:r>
        <w:t xml:space="preserve"> </w:t>
      </w:r>
      <w:r>
        <w:t xml:space="preserve">description — every solver revision’s header lists what changed and what</w:t>
      </w:r>
      <w:r>
        <w:t xml:space="preserve"> </w:t>
      </w:r>
      <w:r>
        <w:t xml:space="preserve">is guaranteed unchanged. Six months from now,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tells you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something changed; the header tells you</w:t>
      </w:r>
      <w:r>
        <w:t xml:space="preserve"> </w:t>
      </w:r>
      <w:r>
        <w:rPr>
          <w:i/>
          <w:iCs/>
        </w:rPr>
        <w:t xml:space="preserve">why</w:t>
      </w:r>
      <w:r>
        <w:t xml:space="preserve">, in the same place you’re</w:t>
      </w:r>
      <w:r>
        <w:t xml:space="preserve"> </w:t>
      </w:r>
      <w:r>
        <w:t xml:space="preserve">already reading.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fprintf</w:t>
      </w:r>
      <w:r>
        <w:rPr>
          <w:b/>
          <w:bCs/>
        </w:rPr>
        <w:t xml:space="preserve"> </w:t>
      </w:r>
      <w:r>
        <w:rPr>
          <w:b/>
          <w:bCs/>
        </w:rPr>
        <w:t xml:space="preserve">diagnostics at natural checkpoints</w:t>
      </w:r>
      <w:r>
        <w:t xml:space="preserve">, not scattered debug</w:t>
      </w:r>
      <w:r>
        <w:t xml:space="preserve"> </w:t>
      </w:r>
      <w:r>
        <w:t xml:space="preserve">prints:</w:t>
      </w:r>
      <w:r>
        <w:t xml:space="preserve"> </w:t>
      </w:r>
      <w:r>
        <w:rPr>
          <w:rStyle w:val="VerbatimChar"/>
        </w:rPr>
        <w:t xml:space="preserve">Ndof</w:t>
      </w:r>
      <w:r>
        <w:t xml:space="preserve">, the estimated reciprocal condition number, the static</w:t>
      </w:r>
      <w:r>
        <w:t xml:space="preserve"> </w:t>
      </w:r>
      <w:r>
        <w:t xml:space="preserve">-limit self-check, per-step progress every 5% of the run, final-state</w:t>
      </w:r>
      <w:r>
        <w:t xml:space="preserve"> </w:t>
      </w:r>
      <w:r>
        <w:t xml:space="preserve">values compared against their expected targets. Every one of these is a</w:t>
      </w:r>
      <w:r>
        <w:t xml:space="preserve"> </w:t>
      </w:r>
      <w:r>
        <w:t xml:space="preserve">place where a bug would visibly show up as a wrong or</w:t>
      </w:r>
      <w:r>
        <w:t xml:space="preserve"> </w:t>
      </w:r>
      <w:r>
        <w:rPr>
          <w:rStyle w:val="VerbatimChar"/>
        </w:rPr>
        <w:t xml:space="preserve">NaN</w:t>
      </w:r>
      <w:r>
        <w:t xml:space="preserve">/</w:t>
      </w:r>
      <w:r>
        <w:rPr>
          <w:rStyle w:val="VerbatimChar"/>
        </w:rPr>
        <w:t xml:space="preserve">Inf</w:t>
      </w:r>
      <w:r>
        <w:t xml:space="preserve"> </w:t>
      </w:r>
      <w:r>
        <w:t xml:space="preserve">number —</w:t>
      </w:r>
      <w:r>
        <w:t xml:space="preserve"> </w:t>
      </w:r>
      <w:r>
        <w:t xml:space="preserve">cheap insurance, printed by default, no flag needed to turn it 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English comments only.</w:t>
      </w:r>
      <w:r>
        <w:t xml:space="preserve"> </w:t>
      </w:r>
      <w:r>
        <w:t xml:space="preserve">MATLAB’s editor and console don’t render</w:t>
      </w:r>
      <w:r>
        <w:t xml:space="preserve"> </w:t>
      </w:r>
      <w:r>
        <w:t xml:space="preserve">Persian reliably, so every comment in every</w:t>
      </w:r>
      <w:r>
        <w:t xml:space="preserve"> </w:t>
      </w:r>
      <w:r>
        <w:rPr>
          <w:rStyle w:val="VerbatimChar"/>
        </w:rPr>
        <w:t xml:space="preserve">.m</w:t>
      </w:r>
      <w:r>
        <w:t xml:space="preserve"> </w:t>
      </w:r>
      <w:r>
        <w:t xml:space="preserve">file in this project is</w:t>
      </w:r>
      <w:r>
        <w:t xml:space="preserve"> </w:t>
      </w:r>
      <w:r>
        <w:t xml:space="preserve">English, even though the thesis text and most documentation are Persian.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Don’t invent physics to make code shorter.</w:t>
      </w:r>
      <w:r>
        <w:t xml:space="preserve"> </w:t>
      </w:r>
      <w:r>
        <w:rPr>
          <w:rStyle w:val="VerbatimChar"/>
        </w:rPr>
        <w:t xml:space="preserve">LSTE_solver_R8.m</w:t>
      </w:r>
      <w:r>
        <w:t xml:space="preserve"> </w:t>
      </w:r>
      <w:r>
        <w:t xml:space="preserve">runs a</w:t>
      </w:r>
      <w:r>
        <w:t xml:space="preserve"> </w:t>
      </w:r>
      <w:r>
        <w:rPr>
          <w:rStyle w:val="VerbatimChar"/>
        </w:rPr>
        <w:t xml:space="preserve">NL=7, N_r=15, N_z=11</w:t>
      </w:r>
      <w:r>
        <w:t xml:space="preserve"> </w:t>
      </w:r>
      <w:r>
        <w:t xml:space="preserve">case in a few seconds mainly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nothing is</w:t>
      </w:r>
      <w:r>
        <w:t xml:space="preserve"> </w:t>
      </w:r>
      <w:r>
        <w:t xml:space="preserve">approximated for convenience — matrices are exact DQM operators, the</w:t>
      </w:r>
      <w:r>
        <w:t xml:space="preserve"> </w:t>
      </w:r>
      <w:r>
        <w:t xml:space="preserve">Newmark scheme is unconditionally stable at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LU</w:t>
      </w:r>
      <w:r>
        <w:t xml:space="preserve"> </w:t>
      </w:r>
      <w:r>
        <w:t xml:space="preserve">factorization is reused. Efficiency in this codebase comes from</w:t>
      </w:r>
      <w:r>
        <w:t xml:space="preserve"> </w:t>
      </w:r>
      <w:r>
        <w:t xml:space="preserve">algorithmic choices (factor once, substitute per step; vectorize where</w:t>
      </w:r>
      <w:r>
        <w:t xml:space="preserve"> </w:t>
      </w:r>
      <w:r>
        <w:t xml:space="preserve">it’s easy), not from cutting numerical corners.</w:t>
      </w:r>
    </w:p>
    <w:bookmarkEnd w:id="18"/>
    <w:bookmarkStart w:id="19" w:name="where-this-document-stops"/>
    <w:p>
      <w:pPr>
        <w:pStyle w:val="Heading2"/>
      </w:pPr>
      <w:r>
        <w:t xml:space="preserve">6. Where this document stops</w:t>
      </w:r>
    </w:p>
    <w:p>
      <w:pPr>
        <w:pStyle w:val="FirstParagraph"/>
      </w:pPr>
      <w:r>
        <w:t xml:space="preserve">This explains</w:t>
      </w:r>
      <w:r>
        <w:t xml:space="preserve"> </w:t>
      </w:r>
      <w:r>
        <w:rPr>
          <w:i/>
          <w:iCs/>
        </w:rPr>
        <w:t xml:space="preserve">patterns</w:t>
      </w:r>
      <w:r>
        <w:t xml:space="preserve">, not every line of</w:t>
      </w:r>
      <w:r>
        <w:t xml:space="preserve"> </w:t>
      </w:r>
      <w:r>
        <w:rPr>
          <w:rStyle w:val="VerbatimChar"/>
        </w:rPr>
        <w:t xml:space="preserve">LSTE_solver_R8.m</w:t>
      </w:r>
      <w:r>
        <w:t xml:space="preserve"> </w:t>
      </w:r>
      <w:r>
        <w:t xml:space="preserve">— for the exact</w:t>
      </w:r>
      <w:r>
        <w:t xml:space="preserve"> </w:t>
      </w:r>
      <w:r>
        <w:t xml:space="preserve">current configuration defaults and how to run a case, see</w:t>
      </w:r>
      <w:r>
        <w:t xml:space="preserve"> </w:t>
      </w:r>
      <w:r>
        <w:rPr>
          <w:rStyle w:val="VerbatimChar"/>
        </w:rPr>
        <w:t xml:space="preserve">CODE_DOC_usage_FA.md</w:t>
      </w:r>
      <w:r>
        <w:t xml:space="preserve">; for the mathematical formulation itself (governing</w:t>
      </w:r>
      <w:r>
        <w:t xml:space="preserve"> </w:t>
      </w:r>
      <w:r>
        <w:t xml:space="preserve">equations, DQM/Newmark derivation), see</w:t>
      </w:r>
      <w:r>
        <w:t xml:space="preserve"> </w:t>
      </w:r>
      <w:r>
        <w:rPr>
          <w:rStyle w:val="VerbatimChar"/>
        </w:rPr>
        <w:t xml:space="preserve">CODE_DOC_technical_FA.md</w:t>
      </w:r>
      <w:r>
        <w:t xml:space="preserve"> </w:t>
      </w:r>
      <w:r>
        <w:t xml:space="preserve">and</w:t>
      </w:r>
      <w:r>
        <w:t xml:space="preserve"> </w:t>
      </w:r>
      <w:r>
        <w:t xml:space="preserve">Chapter 3 of the thesis. For a live discussion of where</w:t>
      </w:r>
      <w:r>
        <w:t xml:space="preserve"> </w:t>
      </w:r>
      <w:r>
        <w:rPr>
          <w:rStyle w:val="VerbatimChar"/>
        </w:rPr>
        <w:t xml:space="preserve">LSTE_solver_R8.m</w:t>
      </w:r>
      <w:r>
        <w:t xml:space="preserve"> </w:t>
      </w:r>
      <w:r>
        <w:t xml:space="preserve">itself</w:t>
      </w:r>
      <w:r>
        <w:t xml:space="preserve"> </w:t>
      </w:r>
      <w:r>
        <w:t xml:space="preserve">could be made faster without changing any result, see the companion note in</w:t>
      </w:r>
      <w:r>
        <w:t xml:space="preserve"> </w:t>
      </w:r>
      <w:r>
        <w:t xml:space="preserve">this session about assembly-loop vectorization — that is a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change, larger in scope than anything above, and (per §1) would need to ship</w:t>
      </w:r>
      <w:r>
        <w:t xml:space="preserve"> </w:t>
      </w:r>
      <w:r>
        <w:t xml:space="preserve">as a new, separately-validated revision rather than an edit to</w:t>
      </w:r>
      <w:r>
        <w:t xml:space="preserve"> </w:t>
      </w:r>
      <w:r>
        <w:rPr>
          <w:rStyle w:val="VerbatimChar"/>
        </w:rPr>
        <w:t xml:space="preserve">LSTE_solver_R8.m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2026-09-03T05:19:50Z</dcterms:created>
  <dcterms:modified xsi:type="dcterms:W3CDTF">2026-09-03T05:19:50Z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