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60.png" ContentType="image/png"/>
  <Override PartName="/word/media/rId49.png" ContentType="image/png"/>
  <Override PartName="/word/media/rId46.png" ContentType="image/png"/>
  <Override PartName="/word/media/rId42.png" ContentType="image/png"/>
  <Override PartName="/word/media/rId64.png" ContentType="image/png"/>
  <Override PartName="/word/media/rId6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53.png" ContentType="image/png"/>
  <Override PartName="/word/media/rId56.png" ContentType="image/png"/>
  <Override PartName="/word/media/rId72.png" ContentType="image/png"/>
  <Override PartName="/word/media/rId10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9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[x]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4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reproduced, and</w:t>
      </w:r>
      <w:r>
        <w:t xml:space="preserve"> </w:t>
      </w:r>
      <w:r>
        <w:t xml:space="preserve">the present wave fronts coincide with those of the reference.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three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solution, and the coupled</w:t>
      </w:r>
      <w:r>
        <w:t xml:space="preserve"> </w:t>
      </w:r>
      <w:r>
        <w:t xml:space="preserve">Lord-Shulman wave fronts against Bagri &amp; Eslami — with the present curves</w:t>
      </w:r>
      <w:r>
        <w:t xml:space="preserve"> </w:t>
      </w:r>
      <w:r>
        <w:t xml:space="preserve">coinciding with the references in every case.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2786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472656"/>
            <wp:effectExtent b="0" l="0" r="0" t="0"/>
            <wp:docPr descr="Figure 4-6: Verification (Lord–Shulman waves) — second-sound temperature fronts through the wall against Bagri &amp; Eslami (2007), Fig. 2" title="" id="32" name="Picture"/>
            <a:graphic>
              <a:graphicData uri="http://schemas.openxmlformats.org/drawingml/2006/picture">
                <pic:pic>
                  <pic:nvPicPr>
                    <pic:cNvPr descr="figures_ch4_color/bench3_thet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Verification (Lord–Shulman waves) — second-sound temperature fronts through the wall against Bagri &amp; Eslami (2007), Fig. 2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4"/>
    <w:bookmarkStart w:id="38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4-7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GPL distribution pattern (UD, O, X, V, A) on the mid-point T* and U* histories and the final T* and Σθθ profiles [R_i=1, R_o=1.5, L=2.1 m, N_L=7, W_GPL=0.3%, e_m3=0.8604, τ*=0.15, P_i=50 MPa, simply supported]" title="" id="36" name="Picture"/>
            <a:graphic>
              <a:graphicData uri="http://schemas.openxmlformats.org/drawingml/2006/picture">
                <pic:pic>
                  <pic:nvPicPr>
                    <pic:cNvPr descr="figures_ch4_color/A_GPL_patter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8"/>
    <w:bookmarkStart w:id="45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4-8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distribution pattern (UD, O, X, V, A), GPL uniform [R_i=1, R_o=1.5, L=2.1 m, N_L=7, W_GPL=0.3%, e_m3=0.8604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color/B_porosity_patter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porosity level e_m3 = 0.9675 / 0.8604 / 0.7776 [R_o/R_i=1.5, L=2.1 m, N_L=7, W_GPL=0.3%, UD, τ*=0.15, P_i=50 MPa, simply supported]" title="" id="43" name="Picture"/>
            <a:graphic>
              <a:graphicData uri="http://schemas.openxmlformats.org/drawingml/2006/picture">
                <pic:pic>
                  <pic:nvPicPr>
                    <pic:cNvPr descr="figures_ch4_color/E_porosity_lev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4-9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5"/>
    <w:bookmarkStart w:id="52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low range) W = 0.1 / 0.3 / 0.5 / 0.9 / 1.5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color/D_wt_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4-10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1: Effect of the GPL weight fraction (high range) W = 1 / 2 / 4 / 8 % [R_o/R_i=1.5, L=2.1 m, N_L=7, UD, e_m3=0.8604, τ*=0.15, P_i=50 MPa, simply supported]" title="" id="50" name="Picture"/>
            <a:graphic>
              <a:graphicData uri="http://schemas.openxmlformats.org/drawingml/2006/picture">
                <pic:pic>
                  <pic:nvPicPr>
                    <pic:cNvPr descr="figures_ch4_color/D2_wt_hig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4-11.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52"/>
    <w:bookmarkStart w:id="59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length-to-width aspect ratio a/b = 1.0 / 1.67 / 2.67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color/O_aspect_ab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4-12.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3: Effect of the platelet width-to-thickness aspect ratio b/t = 500 / 1000 / 2000 [R_o/R_i=1.5, L=2.1 m, N_L=7, W_GPL=0.3%, e_m3=0.8604, τ*=0.15, P_i=50 MPa, simply supported]" title="" id="57" name="Picture"/>
            <a:graphic>
              <a:graphicData uri="http://schemas.openxmlformats.org/drawingml/2006/picture">
                <pic:pic>
                  <pic:nvPicPr>
                    <pic:cNvPr descr="figures_ch4_color/P_aspect_b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4-13)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9"/>
    <w:bookmarkStart w:id="63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4: Effect of the relaxation time — Fourier (τ=0) and Lord–Shulman τ = 0.04 / 0.15 / 0.44 [R_o/R_i=1.5, L=2.1 m, N_L=7, W_GPL=0.3%, e_m3=0.8604, P_i=50 MPa, simply supported]" title="" id="61" name="Picture"/>
            <a:graphic>
              <a:graphicData uri="http://schemas.openxmlformats.org/drawingml/2006/picture">
                <pic:pic>
                  <pic:nvPicPr>
                    <pic:cNvPr descr="figures_ch4_color/C_relax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4-14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3"/>
    <w:bookmarkStart w:id="67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5: Effect of the end supports — simply supported (S-S), mixed (S-C) and clamped (C-C) [R_o/R_i=1.5, L=2.1 m, N_L=7, W_GPL=0.3%, e_m3=0.8604, τ*=0.15, P_i=50 MPa]" title="" id="65" name="Picture"/>
            <a:graphic>
              <a:graphicData uri="http://schemas.openxmlformats.org/drawingml/2006/picture">
                <pic:pic>
                  <pic:nvPicPr>
                    <pic:cNvPr descr="figures_ch4_color/F_end_B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4-15,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7"/>
    <w:bookmarkStart w:id="71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</w:t>
      </w:r>
      <w:r>
        <w:t xml:space="preserve"> </w:t>
      </w:r>
      <w:r>
        <w:t xml:space="preserve">4-11,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6: Effect of the internal pressure P_i = 0 / 10 / 50 / 100 MPa [R_o/R_i=1.5, L=2.1 m, N_L=7, W_GPL=0.3%, e_m3=0.8604, τ*=0.15, simply supported]" title="" id="69" name="Picture"/>
            <a:graphic>
              <a:graphicData uri="http://schemas.openxmlformats.org/drawingml/2006/picture">
                <pic:pic>
                  <pic:nvPicPr>
                    <pic:cNvPr descr="figures_ch4_color/G_press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71"/>
    <w:bookmarkStart w:id="75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7: Effect of the cylinder length L = 1 / 2.1 / 5 / 10 m [R_i=1, R_o=1.5, N_L=7, W_GPL=0.3%, e_m3=0.8604, τ*=0.15, P_i=50 MPa, simply supported]" title="" id="73" name="Picture"/>
            <a:graphic>
              <a:graphicData uri="http://schemas.openxmlformats.org/drawingml/2006/picture">
                <pic:pic>
                  <pic:nvPicPr>
                    <pic:cNvPr descr="figures_ch4_color/Q_lengt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4-17,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5"/>
    <w:bookmarkStart w:id="82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4-18.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through-wall dimensionless temperature T*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color/matrix25_Tsta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9: Full 25-case GPL × porosity matrix — hoop-stress profile Σθθ(ξ) for every pattern pair (rows: GPL pattern; columns: porosity pattern) [reference: W_GPL=0.3%, e_m3=0.8604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color/matrix25_Sigma_tht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bookmarkEnd w:id="82"/>
    <w:bookmarkStart w:id="86" w:name="effect-of-the-coupling-of-the-equations"/>
    <w:p>
      <w:pPr>
        <w:pStyle w:val="Heading2"/>
      </w:pPr>
      <w:r>
        <w:t xml:space="preserve">4-14. Effect of the coupling of the equations</w:t>
      </w:r>
    </w:p>
    <w:p>
      <w:pPr>
        <w:pStyle w:val="FirstParagraph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Effect of thermo-mechanical coupling — fully coupled versus uncoupled energy equation [R_o/R_i=1.5, L=2.1 m, N_L=7, W_GPL=0.3%, e_m3=0.8604, τ*=0.15, P_i=50 MPa, simply supported]" title="" id="84" name="Picture"/>
            <a:graphic>
              <a:graphicData uri="http://schemas.openxmlformats.org/drawingml/2006/picture">
                <pic:pic>
                  <pic:nvPicPr>
                    <pic:cNvPr descr="figures_ch4_color/I_coupling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4-20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86"/>
    <w:bookmarkStart w:id="90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1: Effect of the outer-surface convection coefficient h_c = 10 / 100 / 1000 W/m²K [R_o/R_i=1.5, L=2.1 m, N_L=7, W_GPL=0.3%, e_m3=0.8604, τ*=0.15, P_i=50 MPa, simply supported]" title="" id="88" name="Picture"/>
            <a:graphic>
              <a:graphicData uri="http://schemas.openxmlformats.org/drawingml/2006/picture">
                <pic:pic>
                  <pic:nvPicPr>
                    <pic:cNvPr descr="figures_ch4_color/J_convec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4-21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90"/>
    <w:bookmarkStart w:id="94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Effect of the wall thickness, radius ratio R_o/R_i = 1.25 / 1.5 / 2.0 (inner radius fixed at 1 m) [L=2.1 m, N_L=7, W_GPL=0.3%, e_m3=0.8604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color/K_thicknes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4-22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94"/>
    <w:bookmarkStart w:id="98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3: Response to a Gaussian thermal shock — Lord–Shulman versus Fourier [R_o/R_i=1.5, L=2.1 m, N_L=7, W_GPL=0.3%, e_m3=0.8604, P_i=50 MPa, simply supported]" title="" id="96" name="Picture"/>
            <a:graphic>
              <a:graphicData uri="http://schemas.openxmlformats.org/drawingml/2006/picture">
                <pic:pic>
                  <pic:nvPicPr>
                    <pic:cNvPr descr="figures_ch4_color/M_gauss_shoc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4-23: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4-23).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98"/>
    <w:bookmarkStart w:id="99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99"/>
    <w:bookmarkStart w:id="100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00"/>
    <w:bookmarkStart w:id="104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Comparison of the generalized thermoelasticity theories — Fourier, Lord–Shulman, dual-phase-lag and Green–Naghdi III [R_o/R_i=1.5, L=2.1 m, N_L=7, W_GPL=0.3%, e_m3=0.8604, τ*=0.15, P_i=50 MPa, simply supported]" title="" id="102" name="Picture"/>
            <a:graphic>
              <a:graphicData uri="http://schemas.openxmlformats.org/drawingml/2006/picture">
                <pic:pic>
                  <pic:nvPicPr>
                    <pic:cNvPr descr="figures_ch4_color/T3_theori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4-24,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04"/>
    <w:bookmarkStart w:id="105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0" Target="media/rId60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9" Target="media/rId79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2026-08-02T17:29:05Z</dcterms:created>
  <dcterms:modified xsi:type="dcterms:W3CDTF">2026-08-02T17:29:05Z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