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7.png" ContentType="image/png"/>
  <Override PartName="/word/media/rId97.png" ContentType="image/png"/>
  <Override PartName="/word/media/rId102.png" ContentType="image/png"/>
  <Override PartName="/word/media/rId106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Луцкая</w:t>
      </w:r>
      <w:r>
        <w:t xml:space="preserve"> </w:t>
      </w:r>
      <w:r>
        <w:t xml:space="preserve">Алиса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111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со-</w:t>
      </w:r>
      <w:r>
        <w:t xml:space="preserve"> </w:t>
      </w:r>
      <w:r>
        <w:t xml:space="preserve">здаю файл lab09-1.asm (рис. -fig. 1).</w:t>
      </w:r>
    </w:p>
    <w:p>
      <w:pPr>
        <w:pStyle w:val="CaptionedFigure"/>
      </w:pPr>
      <w:bookmarkStart w:id="26" w:name="fig:001"/>
      <w:r>
        <w:drawing>
          <wp:inline>
            <wp:extent cx="5334000" cy="1026228"/>
            <wp:effectExtent b="0" l="0" r="0" t="0"/>
            <wp:docPr descr="Рис. 1: 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файла</w:t>
      </w:r>
    </w:p>
    <w:p>
      <w:pPr>
        <w:pStyle w:val="BodyText"/>
      </w:pPr>
      <w:r>
        <w:t xml:space="preserve">Ввод в файл кода из листинга (рис. -fig. 2).</w:t>
      </w:r>
    </w:p>
    <w:p>
      <w:pPr>
        <w:pStyle w:val="CaptionedFigure"/>
      </w:pPr>
      <w:bookmarkStart w:id="30" w:name="fig:002"/>
      <w:r>
        <w:drawing>
          <wp:inline>
            <wp:extent cx="5334000" cy="6550925"/>
            <wp:effectExtent b="0" l="0" r="0" t="0"/>
            <wp:docPr descr="Рис. 2: Ввод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Ввод программы</w:t>
      </w:r>
    </w:p>
    <w:p>
      <w:pPr>
        <w:pStyle w:val="BodyText"/>
      </w:pPr>
      <w:r>
        <w:t xml:space="preserve">Компилирую и запускаю его, данная программа выполняет вычисление функции(рис. -fig. 3).</w:t>
      </w:r>
    </w:p>
    <w:p>
      <w:pPr>
        <w:pStyle w:val="CaptionedFigure"/>
      </w:pPr>
      <w:bookmarkStart w:id="34" w:name="fig:003"/>
      <w:r>
        <w:drawing>
          <wp:inline>
            <wp:extent cx="5334000" cy="993412"/>
            <wp:effectExtent b="0" l="0" r="0" t="0"/>
            <wp:docPr descr="Рис. 3: Запуск программы из листин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-fig. 4).</w:t>
      </w:r>
    </w:p>
    <w:p>
      <w:pPr>
        <w:pStyle w:val="CaptionedFigure"/>
      </w:pPr>
      <w:bookmarkStart w:id="38" w:name="fig:004"/>
      <w:r>
        <w:drawing>
          <wp:inline>
            <wp:extent cx="5016500" cy="9131300"/>
            <wp:effectExtent b="0" l="0" r="0" t="0"/>
            <wp:docPr descr="Рис. 4: Изменение программы первого листин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913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Изменение программы первого листинга</w:t>
      </w:r>
    </w:p>
    <w:p>
      <w:pPr>
        <w:pStyle w:val="BodyText"/>
      </w:pPr>
      <w:r>
        <w:t xml:space="preserve">Компилирую и запускаю его (рис. -fig. 5).</w:t>
      </w:r>
    </w:p>
    <w:p>
      <w:pPr>
        <w:pStyle w:val="CaptionedFigure"/>
      </w:pPr>
      <w:bookmarkStart w:id="42" w:name="fig:005"/>
      <w:r>
        <w:drawing>
          <wp:inline>
            <wp:extent cx="5334000" cy="935008"/>
            <wp:effectExtent b="0" l="0" r="0" t="0"/>
            <wp:docPr descr="Рис. 5: Запуск программы из листинг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Запуск программы из листинга</w:t>
      </w:r>
    </w:p>
    <w:bookmarkStart w:id="75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Создайте файл lab09-2.asm с текстом программы из Листинга 9.2.(рис. -fig. 6).</w:t>
      </w:r>
    </w:p>
    <w:p>
      <w:pPr>
        <w:pStyle w:val="CaptionedFigure"/>
      </w:pPr>
      <w:bookmarkStart w:id="46" w:name="fig:006"/>
      <w:r>
        <w:drawing>
          <wp:inline>
            <wp:extent cx="4902200" cy="5499100"/>
            <wp:effectExtent b="0" l="0" r="0" t="0"/>
            <wp:docPr descr="Рис. 6: Создание файл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49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Создание файла</w:t>
      </w:r>
    </w:p>
    <w:p>
      <w:pPr>
        <w:pStyle w:val="BodyText"/>
      </w:pPr>
      <w:r>
        <w:t xml:space="preserve">Загружаю исполняемый файл в отладчик gdb (рис. -fig. 7).</w:t>
      </w:r>
    </w:p>
    <w:p>
      <w:pPr>
        <w:pStyle w:val="CaptionedFigure"/>
      </w:pPr>
      <w:bookmarkStart w:id="50" w:name="fig:007"/>
      <w:r>
        <w:drawing>
          <wp:inline>
            <wp:extent cx="5334000" cy="3066843"/>
            <wp:effectExtent b="0" l="0" r="0" t="0"/>
            <wp:docPr descr="Рис. 7: Загрузка файл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Загрузка файла</w:t>
      </w:r>
    </w:p>
    <w:p>
      <w:pPr>
        <w:pStyle w:val="BodyText"/>
      </w:pPr>
      <w:r>
        <w:t xml:space="preserve">Проверьте работу программы, запустив ее в оболочке GDB с помощью команды run (рис. -fig. 8).</w:t>
      </w:r>
    </w:p>
    <w:p>
      <w:pPr>
        <w:pStyle w:val="CaptionedFigure"/>
      </w:pPr>
      <w:bookmarkStart w:id="54" w:name="fig:008"/>
      <w:r>
        <w:drawing>
          <wp:inline>
            <wp:extent cx="5334000" cy="3976000"/>
            <wp:effectExtent b="0" l="0" r="0" t="0"/>
            <wp:docPr descr="Рис. 8: Запуск программы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Запуск программы</w:t>
      </w:r>
    </w:p>
    <w:p>
      <w:pPr>
        <w:pStyle w:val="BodyText"/>
      </w:pPr>
      <w:r>
        <w:t xml:space="preserve">Для более подробного анализа программы установливаю брейкпоинт на метку _start и запускаю её. (рис. -fig. 9).</w:t>
      </w:r>
    </w:p>
    <w:p>
      <w:pPr>
        <w:pStyle w:val="CaptionedFigure"/>
      </w:pPr>
      <w:bookmarkStart w:id="58" w:name="fig:009"/>
      <w:r>
        <w:drawing>
          <wp:inline>
            <wp:extent cx="5334000" cy="4745137"/>
            <wp:effectExtent b="0" l="0" r="0" t="0"/>
            <wp:docPr descr="Рис. 9: Запуск отладчика с брейкпоинтом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5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Запуск отладчика с брейкпоинтом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 (рис. -fig. 10).</w:t>
      </w:r>
    </w:p>
    <w:p>
      <w:pPr>
        <w:pStyle w:val="CaptionedFigure"/>
      </w:pPr>
      <w:bookmarkStart w:id="62" w:name="fig:010"/>
      <w:r>
        <w:drawing>
          <wp:inline>
            <wp:extent cx="5334000" cy="3977539"/>
            <wp:effectExtent b="0" l="0" r="0" t="0"/>
            <wp:docPr descr="Рис. 10: Просмотр код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Просмотр кода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 -fig. 11).</w:t>
      </w:r>
    </w:p>
    <w:p>
      <w:pPr>
        <w:pStyle w:val="CaptionedFigure"/>
      </w:pPr>
      <w:bookmarkStart w:id="66" w:name="fig:011"/>
      <w:r>
        <w:drawing>
          <wp:inline>
            <wp:extent cx="5334000" cy="3977539"/>
            <wp:effectExtent b="0" l="0" r="0" t="0"/>
            <wp:docPr descr="Рис. 11: Переключение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Переключение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 (рис. -fig. 12).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bookmarkStart w:id="70" w:name="fig:012"/>
      <w:r>
        <w:drawing>
          <wp:inline>
            <wp:extent cx="5334000" cy="7259842"/>
            <wp:effectExtent b="0" l="0" r="0" t="0"/>
            <wp:docPr descr="Рис. 12: Дисассимилирование программы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9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-fig. 13).</w:t>
      </w:r>
    </w:p>
    <w:p>
      <w:pPr>
        <w:pStyle w:val="CaptionedFigure"/>
      </w:pPr>
      <w:bookmarkStart w:id="74" w:name="fig:013"/>
      <w:r>
        <w:drawing>
          <wp:inline>
            <wp:extent cx="5334000" cy="5433763"/>
            <wp:effectExtent b="0" l="0" r="0" t="0"/>
            <wp:docPr descr="Рис. 13: Режим псевдографики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Режим псевдографики</w:t>
      </w:r>
    </w:p>
    <w:bookmarkEnd w:id="75"/>
    <w:bookmarkStart w:id="80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сохранился. Устаналиваю еще одну точку останова по адресу инструкции (рис. -fig. 14).</w:t>
      </w:r>
    </w:p>
    <w:p>
      <w:pPr>
        <w:pStyle w:val="CaptionedFigure"/>
      </w:pPr>
      <w:bookmarkStart w:id="79" w:name="fig:014"/>
      <w:r>
        <w:drawing>
          <wp:inline>
            <wp:extent cx="5334000" cy="5433763"/>
            <wp:effectExtent b="0" l="0" r="0" t="0"/>
            <wp:docPr descr="Рис. 14: Добавление второй точки останов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Добавление второй точки останова</w:t>
      </w:r>
    </w:p>
    <w:bookmarkEnd w:id="80"/>
    <w:bookmarkStart w:id="101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-fig. 15).</w:t>
      </w:r>
    </w:p>
    <w:p>
      <w:pPr>
        <w:pStyle w:val="CaptionedFigure"/>
      </w:pPr>
      <w:bookmarkStart w:id="84" w:name="fig:015"/>
      <w:r>
        <w:drawing>
          <wp:inline>
            <wp:extent cx="5334000" cy="5433763"/>
            <wp:effectExtent b="0" l="0" r="0" t="0"/>
            <wp:docPr descr="Рис. 15: Просмотр содержимого регистров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-fig. 16).</w:t>
      </w:r>
    </w:p>
    <w:p>
      <w:pPr>
        <w:pStyle w:val="CaptionedFigure"/>
      </w:pPr>
      <w:bookmarkStart w:id="88" w:name="fig:017"/>
      <w:r>
        <w:drawing>
          <wp:inline>
            <wp:extent cx="5334000" cy="5433763"/>
            <wp:effectExtent b="0" l="0" r="0" t="0"/>
            <wp:docPr descr="Рис. 16: Просмотр содержимого переменных двумя способами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-fig. 17).</w:t>
      </w:r>
    </w:p>
    <w:p>
      <w:pPr>
        <w:pStyle w:val="CaptionedFigure"/>
      </w:pPr>
      <w:bookmarkStart w:id="92" w:name="fig:018"/>
      <w:r>
        <w:drawing>
          <wp:inline>
            <wp:extent cx="5334000" cy="5433763"/>
            <wp:effectExtent b="0" l="0" r="0" t="0"/>
            <wp:docPr descr="Рис. 17: Изменение содержимого переменных двумя способами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-fig. 18).</w:t>
      </w:r>
    </w:p>
    <w:p>
      <w:pPr>
        <w:pStyle w:val="CaptionedFigure"/>
      </w:pPr>
      <w:bookmarkStart w:id="96" w:name="fig:019"/>
      <w:r>
        <w:drawing>
          <wp:inline>
            <wp:extent cx="5334000" cy="5433763"/>
            <wp:effectExtent b="0" l="0" r="0" t="0"/>
            <wp:docPr descr="Рис. 18: Просмотр значения регистра разными представлениями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-fig. 19).</w:t>
      </w:r>
    </w:p>
    <w:p>
      <w:pPr>
        <w:pStyle w:val="CaptionedFigure"/>
      </w:pPr>
      <w:bookmarkStart w:id="100" w:name="fig:020"/>
      <w:r>
        <w:drawing>
          <wp:inline>
            <wp:extent cx="5334000" cy="5367048"/>
            <wp:effectExtent b="0" l="0" r="0" t="0"/>
            <wp:docPr descr="Рис. 19: Примеры использования команды set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Примеры использования команды set</w:t>
      </w:r>
    </w:p>
    <w:bookmarkEnd w:id="101"/>
    <w:bookmarkStart w:id="110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lab09-3.asm. Создаю исполняемый файл. Загружаю исполняемый файл в отладчик, указав аргументы. (рис. -fig. 20).</w:t>
      </w:r>
    </w:p>
    <w:p>
      <w:pPr>
        <w:pStyle w:val="CaptionedFigure"/>
      </w:pPr>
      <w:bookmarkStart w:id="105" w:name="fig:021"/>
      <w:r>
        <w:drawing>
          <wp:inline>
            <wp:extent cx="5334000" cy="519017"/>
            <wp:effectExtent b="0" l="0" r="0" t="0"/>
            <wp:docPr descr="Рис. 20: Подготовка новой программы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-fig. 16).</w:t>
      </w:r>
    </w:p>
    <w:p>
      <w:pPr>
        <w:pStyle w:val="CaptionedFigure"/>
      </w:pPr>
      <w:bookmarkStart w:id="109" w:name="fig:022"/>
      <w:r>
        <w:drawing>
          <wp:inline>
            <wp:extent cx="5334000" cy="5472802"/>
            <wp:effectExtent b="0" l="0" r="0" t="0"/>
            <wp:docPr descr="Рис. 21: Проверка работы стека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2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Проверка работы стека</w:t>
      </w:r>
    </w:p>
    <w:bookmarkEnd w:id="110"/>
    <w:bookmarkEnd w:id="111"/>
    <w:bookmarkStart w:id="128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-fig. 22).</w:t>
      </w:r>
    </w:p>
    <w:p>
      <w:pPr>
        <w:pStyle w:val="CaptionedFigure"/>
      </w:pPr>
      <w:bookmarkStart w:id="115" w:name="fig:023"/>
      <w:r>
        <w:drawing>
          <wp:inline>
            <wp:extent cx="5334000" cy="9886184"/>
            <wp:effectExtent b="0" l="0" r="0" t="0"/>
            <wp:docPr descr="Рис. 22: Измененная программа предыдущей лабораторной работы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8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22: Измененная программа предыдущей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-fig. 23).</w:t>
      </w:r>
    </w:p>
    <w:p>
      <w:pPr>
        <w:pStyle w:val="CaptionedFigure"/>
      </w:pPr>
      <w:bookmarkStart w:id="119" w:name="fig:024"/>
      <w:r>
        <w:drawing>
          <wp:inline>
            <wp:extent cx="5334000" cy="5394309"/>
            <wp:effectExtent b="0" l="0" r="0" t="0"/>
            <wp:docPr descr="Рис. 23: Поиск ошибки в программе через пошаговую отладку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Рис. 23: 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 (рис. -fig. 24).</w:t>
      </w:r>
    </w:p>
    <w:p>
      <w:pPr>
        <w:pStyle w:val="CaptionedFigure"/>
      </w:pPr>
      <w:bookmarkStart w:id="123" w:name="fig:025"/>
      <w:r>
        <w:drawing>
          <wp:inline>
            <wp:extent cx="4914900" cy="6477000"/>
            <wp:effectExtent b="0" l="0" r="0" t="0"/>
            <wp:docPr descr="Рис. 24: Исправление ошибки" title="" id="121" name="Picture"/>
            <a:graphic>
              <a:graphicData uri="http://schemas.openxmlformats.org/drawingml/2006/picture">
                <pic:pic>
                  <pic:nvPicPr>
                    <pic:cNvPr descr="image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24: Исправление ошибки</w:t>
      </w:r>
    </w:p>
    <w:p>
      <w:pPr>
        <w:pStyle w:val="BodyText"/>
      </w:pPr>
      <w:r>
        <w:t xml:space="preserve">Проверка выполнения программы (рис. -fig. 25).</w:t>
      </w:r>
    </w:p>
    <w:p>
      <w:pPr>
        <w:pStyle w:val="CaptionedFigure"/>
      </w:pPr>
      <w:bookmarkStart w:id="127" w:name="fig:026"/>
      <w:r>
        <w:drawing>
          <wp:inline>
            <wp:extent cx="5334000" cy="1063255"/>
            <wp:effectExtent b="0" l="0" r="0" t="0"/>
            <wp:docPr descr="Рис. 25: Проверка корректировок в программме" title="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25: Проверка корректировок в программме</w:t>
      </w:r>
    </w:p>
    <w:bookmarkEnd w:id="128"/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130"/>
    <w:bookmarkStart w:id="131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https://esystem.rudn.ru/course/view.php?id=112</w:t>
      </w:r>
    </w:p>
    <w:p>
      <w:pPr>
        <w:pStyle w:val="FirstParagraph"/>
      </w:pPr>
      <w:r>
        <w:t xml:space="preserve">:::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Луцкая Алиса Витальевна</dc:creator>
  <dc:language>ru-RU</dc:language>
  <cp:keywords/>
  <dcterms:created xsi:type="dcterms:W3CDTF">2024-12-05T22:03:34Z</dcterms:created>
  <dcterms:modified xsi:type="dcterms:W3CDTF">2024-12-05T22:03:34Z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