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recommendation and briefly describe your reasoning.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color w:val="980000"/>
      <w:sz w:val="32"/>
      <w:szCs w:val="32"/>
    </w:rPr>
  </w:style>
  <w:style w:type="paragraph" w:styleId="Heading2">
    <w:name w:val="heading 2"/>
    <w:basedOn w:val="Normal"/>
    <w:next w:val="Normal"/>
    <w:pPr/>
    <w:rPr>
      <w:rFonts w:ascii="Roboto" w:cs="Roboto" w:eastAsia="Roboto" w:hAnsi="Roboto"/>
      <w:b w:val="1"/>
      <w:color w:val="980000"/>
      <w:sz w:val="26"/>
      <w:szCs w:val="26"/>
    </w:rPr>
  </w:style>
  <w:style w:type="paragraph" w:styleId="Heading3">
    <w:name w:val="heading 3"/>
    <w:basedOn w:val="Normal"/>
    <w:next w:val="Normal"/>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