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EBD4D">
      <w:pPr>
        <w:pStyle w:val="2"/>
        <w:bidi/>
        <w:spacing w:after="200"/>
        <w:jc w:val="center"/>
      </w:pPr>
      <w:r>
        <w:rPr>
          <w:rFonts w:ascii="Arial" w:hAnsi="Arial" w:eastAsia="Arial" w:cs="Arial"/>
          <w:b/>
          <w:bCs/>
          <w:sz w:val="34"/>
          <w:szCs w:val="34"/>
          <w:rtl/>
        </w:rPr>
        <w:t>نقاط القوة والندرة في مشروع «تحرّي الجينات المسبّبة للعقم الذكري باستخدام تقنيات المعلوماتية الحيوية»</w:t>
      </w:r>
    </w:p>
    <w:p w14:paraId="1FF108BF">
      <w:pPr>
        <w:bidi/>
        <w:spacing w:after="140" w:line="340" w:lineRule="auto"/>
        <w:jc w:val="left"/>
      </w:pPr>
      <w:r>
        <w:rPr>
          <w:rFonts w:ascii="Arial" w:hAnsi="Arial" w:eastAsia="Arial" w:cs="Arial"/>
          <w:sz w:val="24"/>
          <w:szCs w:val="24"/>
          <w:rtl/>
        </w:rPr>
        <w:t>تقرير موحَّد جاهز للاستخدام في المناقشة والسيرة الذاتية وطلبات القبول. يجمع بين تقرير «نقاط القوة والندرة» المرفق وبين التقرير السابق، ومبني على ملف المشروع ومراجعة الأدبيات. صيغت الادعاءات بعبارات محافظة («حسب علمنا»، «لم نجد سابقة مطابقة»)، لأنها هي التي تصمد في المناقشة والتحكيم.</w:t>
      </w:r>
    </w:p>
    <w:p w14:paraId="1205942F">
      <w:pPr>
        <w:pStyle w:val="3"/>
        <w:keepNext/>
        <w:bidi/>
        <w:spacing w:before="280" w:after="120"/>
      </w:pPr>
      <w:r>
        <w:rPr>
          <w:rFonts w:ascii="Arial" w:hAnsi="Arial" w:eastAsia="Arial" w:cs="Arial"/>
          <w:b/>
          <w:bCs/>
          <w:sz w:val="28"/>
          <w:szCs w:val="28"/>
          <w:rtl/>
        </w:rPr>
        <w:t>1. النسخة المختصرة (نحو 150 كلمة)</w:t>
      </w:r>
    </w:p>
    <w:p w14:paraId="32A9428B">
      <w:pPr>
        <w:pBdr>
          <w:right w:val="single" w:color="2E75B6" w:sz="12" w:space="8"/>
        </w:pBdr>
        <w:shd w:val="clear" w:fill="EEF4FA"/>
        <w:bidi/>
        <w:spacing w:after="140" w:line="340" w:lineRule="auto"/>
        <w:ind w:left="360" w:right="360"/>
        <w:rPr>
          <w:rFonts w:ascii="Arial" w:hAnsi="Arial" w:eastAsia="Arial" w:cs="Arial"/>
          <w:sz w:val="24"/>
          <w:szCs w:val="24"/>
          <w:rtl/>
        </w:rPr>
      </w:pPr>
      <w:r>
        <w:rPr>
          <w:rFonts w:ascii="Arial" w:hAnsi="Arial" w:eastAsia="Arial" w:cs="Arial"/>
          <w:sz w:val="24"/>
          <w:szCs w:val="24"/>
          <w:rtl/>
        </w:rPr>
        <w:t xml:space="preserve">دراسة حاسوبية استعادية واسعة النطاق تسأل: </w:t>
      </w:r>
    </w:p>
    <w:p w14:paraId="280800E3">
      <w:pPr>
        <w:pBdr>
          <w:right w:val="single" w:color="2E75B6" w:sz="12" w:space="8"/>
        </w:pBdr>
        <w:shd w:val="clear" w:fill="EEF4FA"/>
        <w:bidi/>
        <w:spacing w:after="140" w:line="340" w:lineRule="auto"/>
        <w:ind w:left="360" w:right="360"/>
        <w:rPr>
          <w:rFonts w:ascii="Arial" w:hAnsi="Arial" w:eastAsia="Arial" w:cs="Arial"/>
          <w:b/>
          <w:bCs/>
          <w:sz w:val="24"/>
          <w:szCs w:val="24"/>
          <w:rtl/>
        </w:rPr>
      </w:pPr>
      <w:r>
        <w:rPr>
          <w:rFonts w:hint="cs" w:cs="Arial"/>
          <w:b/>
          <w:bCs/>
          <w:sz w:val="24"/>
          <w:szCs w:val="24"/>
          <w:rtl/>
          <w:lang w:val="en-US" w:bidi="ar-SY"/>
        </w:rPr>
        <w:t xml:space="preserve">- </w:t>
      </w:r>
      <w:r>
        <w:rPr>
          <w:rFonts w:ascii="Arial" w:hAnsi="Arial" w:eastAsia="Arial" w:cs="Arial"/>
          <w:b/>
          <w:bCs/>
          <w:sz w:val="24"/>
          <w:szCs w:val="24"/>
          <w:rtl/>
        </w:rPr>
        <w:t xml:space="preserve">هل المتغيرات الموصوفة بأنها «ممرِضة» في ClinVar مرتبطة فعلاً بالعقم الذكري؟ </w:t>
      </w:r>
    </w:p>
    <w:p w14:paraId="6E48FF33">
      <w:pPr>
        <w:pBdr>
          <w:right w:val="single" w:color="2E75B6" w:sz="12" w:space="8"/>
        </w:pBdr>
        <w:shd w:val="clear" w:fill="EEF4FA"/>
        <w:bidi/>
        <w:spacing w:after="140" w:line="340" w:lineRule="auto"/>
        <w:ind w:left="360" w:right="360"/>
        <w:rPr>
          <w:rFonts w:ascii="Arial" w:hAnsi="Arial" w:eastAsia="Arial" w:cs="Arial"/>
          <w:sz w:val="24"/>
          <w:szCs w:val="24"/>
          <w:rtl/>
        </w:rPr>
      </w:pPr>
      <w:r>
        <w:rPr>
          <w:rFonts w:ascii="Arial" w:hAnsi="Arial" w:eastAsia="Arial" w:cs="Arial"/>
          <w:sz w:val="24"/>
          <w:szCs w:val="24"/>
          <w:rtl/>
        </w:rPr>
        <w:t xml:space="preserve">من 37 جيناً مرشحاً احتُفظ بـ16 جيناً ذات صحة علاقة بالمرض متوسطة على الأقل (Houston 2022؛ Zhao 2025)، وأُعيد تقييم 712 متغيراً ممرِضاً فيها على مستوى كل تقييم مُرسَل في ClinVar. تبيّن أن 177 متغيراً فقط (24.9%) مسجّل للعقم الذكري، وأن مطابقة المرض غيّرت 6 من 15 متغيراً ممثِّلاً بينما لم تغيّر العتبات أياً منها. </w:t>
      </w:r>
    </w:p>
    <w:p w14:paraId="57A7165C">
      <w:pPr>
        <w:pBdr>
          <w:right w:val="single" w:color="2E75B6" w:sz="12" w:space="8"/>
        </w:pBdr>
        <w:shd w:val="clear" w:fill="EEF4FA"/>
        <w:bidi/>
        <w:spacing w:after="140" w:line="340" w:lineRule="auto"/>
        <w:ind w:left="360" w:right="360"/>
      </w:pPr>
      <w:r>
        <w:rPr>
          <w:rFonts w:ascii="Arial" w:hAnsi="Arial" w:eastAsia="Arial" w:cs="Arial"/>
          <w:sz w:val="24"/>
          <w:szCs w:val="24"/>
          <w:rtl/>
        </w:rPr>
        <w:t>نُفِّذت الخطة نفسها بثلاثة مسارات (Galaxy وVEP، وPython على Colab، وست أدوات ذكاء اصطناعي) فتطابقت القيم الأساسية تماماً (469/469 درجة CADD و131/131 تردداً أليلياً)، وقورنت الأدوات إحصائياً بمرجع موثَّق. وصُمِّم نموذج أولي لموقع ثنائي اللغة يعرض الأدلة على مستوى الجين والمتغير والمرض المسجَّل.</w:t>
      </w:r>
    </w:p>
    <w:p w14:paraId="01AC9BA4">
      <w:pPr>
        <w:pStyle w:val="4"/>
        <w:keepNext/>
        <w:bidi/>
        <w:spacing w:before="280" w:after="120"/>
      </w:pPr>
      <w:r>
        <w:rPr>
          <w:rFonts w:ascii="Arial" w:hAnsi="Arial" w:eastAsia="Arial" w:cs="Arial"/>
          <w:b/>
          <w:bCs/>
          <w:sz w:val="25"/>
          <w:szCs w:val="25"/>
          <w:rtl/>
        </w:rPr>
        <w:t>الصيغة الجاهزة للملخص أو المناقشة</w:t>
      </w:r>
    </w:p>
    <w:p w14:paraId="47BD08FD">
      <w:pPr>
        <w:pBdr>
          <w:right w:val="single" w:color="2E75B6" w:sz="12" w:space="8"/>
        </w:pBdr>
        <w:shd w:val="clear" w:fill="EEF4FA"/>
        <w:bidi/>
        <w:spacing w:after="140" w:line="340" w:lineRule="auto"/>
        <w:ind w:left="360" w:right="360"/>
      </w:pPr>
      <w:r>
        <w:rPr>
          <w:rFonts w:ascii="Arial" w:hAnsi="Arial" w:eastAsia="Arial" w:cs="Arial"/>
          <w:sz w:val="24"/>
          <w:szCs w:val="24"/>
          <w:rtl/>
        </w:rPr>
        <w:t xml:space="preserve">«تُعدّ هذه الدراسة، حسب علمنا، من أوائل الدراسات التي تعيد تقييم المتغيرات الصغيرة المصنّفة ممرضة في قواعد البيانات العامة داخل جينات العقم الذكري المعتمدة، </w:t>
      </w:r>
      <w:r>
        <w:rPr>
          <w:rFonts w:ascii="Arial" w:hAnsi="Arial" w:eastAsia="Arial" w:cs="Arial"/>
          <w:sz w:val="24"/>
          <w:szCs w:val="24"/>
          <w:highlight w:val="yellow"/>
          <w:rtl/>
        </w:rPr>
        <w:t>باشتراط مطابقة المرض على مستوى كل تقييم مرسل</w:t>
      </w:r>
      <w:r>
        <w:rPr>
          <w:rFonts w:ascii="Arial" w:hAnsi="Arial" w:eastAsia="Arial" w:cs="Arial"/>
          <w:sz w:val="24"/>
          <w:szCs w:val="24"/>
          <w:rtl/>
        </w:rPr>
        <w:t>، ثم تنفّذ البروتوكول نفسه بثلاث طرق — واجهة رسومية، وبرمجة، وأدوات ذكاء اصطناعي — وتقارنها إحصائياً، مع بناء نموذج أولي لموقع يضم قاعدة أدلة متعددة الطبقات قابلة للتتبّع».</w:t>
      </w:r>
    </w:p>
    <w:p w14:paraId="47C02420">
      <w:pPr>
        <w:pStyle w:val="3"/>
        <w:keepNext/>
        <w:bidi/>
        <w:spacing w:before="280" w:after="120"/>
      </w:pPr>
      <w:r>
        <w:rPr>
          <w:rFonts w:ascii="Arial" w:hAnsi="Arial" w:eastAsia="Arial" w:cs="Arial"/>
          <w:b/>
          <w:bCs/>
          <w:sz w:val="28"/>
          <w:szCs w:val="28"/>
          <w:rtl/>
        </w:rPr>
        <w:t>2. الموقع المنهجي وفكرة المشروع وأهميته</w:t>
      </w:r>
    </w:p>
    <w:p w14:paraId="58E0438E">
      <w:pPr>
        <w:bidi/>
        <w:spacing w:after="140" w:line="340" w:lineRule="auto"/>
        <w:jc w:val="left"/>
      </w:pPr>
      <w:r>
        <w:rPr>
          <w:rFonts w:ascii="Arial" w:hAnsi="Arial" w:eastAsia="Arial" w:cs="Arial"/>
          <w:b/>
          <w:bCs/>
          <w:sz w:val="24"/>
          <w:szCs w:val="24"/>
          <w:highlight w:val="green"/>
          <w:rtl/>
        </w:rPr>
        <w:t>دراسة تحققية لا اكتشافية.</w:t>
      </w:r>
      <w:r>
        <w:rPr>
          <w:rFonts w:ascii="Arial" w:hAnsi="Arial" w:eastAsia="Arial" w:cs="Arial"/>
          <w:sz w:val="24"/>
          <w:szCs w:val="24"/>
          <w:highlight w:val="green"/>
          <w:rtl/>
        </w:rPr>
        <w:t xml:space="preserve"> لا يقدّم المشروع بيانات تسلسل جديدة من مرضى ولا يدّعي اكتشاف متغيرات جديدة، بل يعيد فحص متغيرات سبق إرسالها إلى قواعد البيانات العامة ويفسّرها داخل سياق العقم الذكري. وهو طبقة تفسيرية تسبق التشخيص الجزيئي وتكمله ولا تحلّ محله</w:t>
      </w:r>
      <w:r>
        <w:rPr>
          <w:rFonts w:ascii="Arial" w:hAnsi="Arial" w:eastAsia="Arial" w:cs="Arial"/>
          <w:sz w:val="24"/>
          <w:szCs w:val="24"/>
          <w:rtl/>
        </w:rPr>
        <w:t>.</w:t>
      </w:r>
    </w:p>
    <w:p w14:paraId="1AA935F4">
      <w:pPr>
        <w:bidi/>
        <w:spacing w:after="140" w:line="340" w:lineRule="auto"/>
        <w:jc w:val="left"/>
        <w:rPr>
          <w:highlight w:val="green"/>
        </w:rPr>
      </w:pPr>
      <w:r>
        <w:rPr>
          <w:rFonts w:ascii="Arial" w:hAnsi="Arial" w:eastAsia="Arial" w:cs="Arial"/>
          <w:b/>
          <w:bCs/>
          <w:sz w:val="24"/>
          <w:szCs w:val="24"/>
          <w:rtl/>
        </w:rPr>
        <w:t>عكس اتجاه السؤال الشائع.</w:t>
      </w:r>
      <w:r>
        <w:rPr>
          <w:rFonts w:ascii="Arial" w:hAnsi="Arial" w:eastAsia="Arial" w:cs="Arial"/>
          <w:sz w:val="24"/>
          <w:szCs w:val="24"/>
          <w:rtl/>
        </w:rPr>
        <w:t xml:space="preserve"> بدل «هل يوجد متغير جديد؟» يسأل المشروع: «هل المتغيرات التي نعدّها ممرضة مرتبطة فعلاً بالعقم، أم مسجّلة لأمراض أخرى؟». </w:t>
      </w:r>
      <w:r>
        <w:rPr>
          <w:rFonts w:ascii="Arial" w:hAnsi="Arial" w:eastAsia="Arial" w:cs="Arial"/>
          <w:sz w:val="24"/>
          <w:szCs w:val="24"/>
          <w:highlight w:val="green"/>
          <w:rtl/>
        </w:rPr>
        <w:t>وهذا القلب في اتجاه السؤال هو مصدر قيمته المعرفية، ويميّزه عن الدراسات التي تكتفي بترتيب المتغيرات حسب الضرر المتوقّع.</w:t>
      </w:r>
    </w:p>
    <w:p w14:paraId="5EA2AB22">
      <w:pPr>
        <w:bidi/>
        <w:spacing w:after="140" w:line="340" w:lineRule="auto"/>
        <w:jc w:val="left"/>
      </w:pPr>
      <w:r>
        <w:rPr>
          <w:rFonts w:ascii="Arial" w:hAnsi="Arial" w:eastAsia="Arial" w:cs="Arial"/>
          <w:b/>
          <w:bCs/>
          <w:sz w:val="24"/>
          <w:szCs w:val="24"/>
          <w:rtl/>
        </w:rPr>
        <w:t>الحاجة إليه.</w:t>
      </w:r>
      <w:r>
        <w:rPr>
          <w:rFonts w:ascii="Arial" w:hAnsi="Arial" w:eastAsia="Arial" w:cs="Arial"/>
          <w:sz w:val="24"/>
          <w:szCs w:val="24"/>
          <w:rtl/>
        </w:rPr>
        <w:t xml:space="preserve"> انعدام النطاف غير الانسدادي من أشد أنماط العقم الذكري، ويبقى سببه الوراثي مجهولاً في معظم الحالات. فقد أفادت مراجعة Houston وزملائه بأن نحو 4% فقط من الرجال العقيمين يُشخَّصون وراثياً، وأن 60–70% يبقون بلا تفسير. ووجد تحليل Lillepea وزملائه (2024) تشخيصاً جزيئياً في نحو 12% (64 من 521)، وقدّر التحليل التجميعي لـ Zhou وزملائه (2025) العائد التشخيصي للإكسوم في انعدام النطاف غير الانسدادي بنحو 15% (فاصل الثقة 10–20%، تسع دراسات، 1,728 فرداً، بدرجة يقين منخفضة). وأشارت دراسة Riera-Escamilla وزملائه (2025) إلى أن استعمال طريقتين لتصنيف المتغيرات يُظهر أن دراسات سابقة ربما بالغت في العائد التشخيصي،</w:t>
      </w:r>
      <w:r>
        <w:rPr>
          <w:rFonts w:ascii="Arial" w:hAnsi="Arial" w:eastAsia="Arial" w:cs="Arial"/>
          <w:sz w:val="24"/>
          <w:szCs w:val="24"/>
          <w:highlight w:val="green"/>
          <w:rtl/>
        </w:rPr>
        <w:t xml:space="preserve"> ما يبرز الحاجة إلى تصنيف موحَّد خاص بالعقم الذكري. وهذه هي المساحة التي يعمل فيها المشروع.</w:t>
      </w:r>
    </w:p>
    <w:p w14:paraId="7EBEE850">
      <w:pPr>
        <w:bidi/>
        <w:spacing w:after="140" w:line="340" w:lineRule="auto"/>
        <w:jc w:val="left"/>
      </w:pPr>
      <w:r>
        <w:rPr>
          <w:rFonts w:ascii="Arial" w:hAnsi="Arial" w:eastAsia="Arial" w:cs="Arial"/>
          <w:b/>
          <w:bCs/>
          <w:sz w:val="24"/>
          <w:szCs w:val="24"/>
          <w:rtl/>
        </w:rPr>
        <w:t>الأمانة في الحدود.</w:t>
      </w:r>
      <w:r>
        <w:rPr>
          <w:rFonts w:ascii="Arial" w:hAnsi="Arial" w:eastAsia="Arial" w:cs="Arial"/>
          <w:sz w:val="24"/>
          <w:szCs w:val="24"/>
          <w:rtl/>
        </w:rPr>
        <w:t xml:space="preserve"> تعترف الرسالة صراحة بأنها لا تكتشف متغيرات جديدة، ولا تقدّر العائد التشخيصي، ولا تتناول التغيّرات العددية ولا حذوفات الكروموسوم Y. وهذا الاعتراف يحدّد بدقة ما يُنسب إلى المشروع وما لا يُنسب إليه، ويمنع المبالغة التي تُسقط الأعمال الجيدة في المناقشة.</w:t>
      </w:r>
    </w:p>
    <w:p w14:paraId="7672EFD3">
      <w:pPr>
        <w:pStyle w:val="3"/>
        <w:keepNext/>
        <w:wordWrap w:val="0"/>
        <w:bidi/>
        <w:spacing w:before="280" w:after="120"/>
        <w:rPr>
          <w:rFonts w:hint="default" w:cs="Arial"/>
          <w:lang w:val="en-US" w:bidi="ar-SY"/>
        </w:rPr>
      </w:pPr>
      <w:r>
        <w:rPr>
          <w:rFonts w:ascii="Arial" w:hAnsi="Arial" w:eastAsia="Arial" w:cs="Arial"/>
          <w:b/>
          <w:bCs/>
          <w:sz w:val="28"/>
          <w:szCs w:val="28"/>
          <w:rtl/>
        </w:rPr>
        <w:t>3. الفصل الحاسم بين ثلاثة مفاهيم</w:t>
      </w:r>
      <w:r>
        <w:rPr>
          <w:rFonts w:hint="cs" w:cs="Arial"/>
          <w:b/>
          <w:bCs/>
          <w:sz w:val="28"/>
          <w:szCs w:val="28"/>
          <w:rtl/>
          <w:lang w:val="en-US" w:bidi="ar-SY"/>
        </w:rPr>
        <w:t xml:space="preserve"> </w:t>
      </w:r>
      <w:r>
        <w:rPr>
          <w:rFonts w:hint="cs" w:cs="Arial"/>
          <w:b/>
          <w:bCs/>
          <w:sz w:val="28"/>
          <w:szCs w:val="28"/>
          <w:highlight w:val="green"/>
          <w:rtl/>
          <w:lang w:val="en-US" w:bidi="ar-SY"/>
        </w:rPr>
        <w:t>(نتبعها لفكرة سابقة)</w:t>
      </w:r>
    </w:p>
    <w:p w14:paraId="3C157AAD">
      <w:pPr>
        <w:bidi/>
        <w:spacing w:after="140" w:line="340" w:lineRule="auto"/>
        <w:jc w:val="left"/>
        <w:rPr>
          <w:highlight w:val="green"/>
        </w:rPr>
      </w:pPr>
      <w:r>
        <w:rPr>
          <w:rFonts w:ascii="Arial" w:hAnsi="Arial" w:eastAsia="Arial" w:cs="Arial"/>
          <w:sz w:val="24"/>
          <w:szCs w:val="24"/>
          <w:highlight w:val="green"/>
          <w:rtl/>
        </w:rPr>
        <w:t>يفصل المشروع بين ثلاثة مستويات كثيراً ما يُخلط بينها في جداول المتغيرات وفي مخرجات أدوات الذكاء الاصطناعي:</w:t>
      </w:r>
    </w:p>
    <w:p w14:paraId="324EDAFA">
      <w:pPr>
        <w:pStyle w:val="16"/>
        <w:numPr>
          <w:ilvl w:val="0"/>
          <w:numId w:val="1"/>
        </w:numPr>
        <w:bidi/>
        <w:spacing w:after="90" w:line="330" w:lineRule="auto"/>
        <w:rPr>
          <w:highlight w:val="green"/>
        </w:rPr>
      </w:pPr>
      <w:r>
        <w:rPr>
          <w:rFonts w:ascii="Arial" w:hAnsi="Arial" w:eastAsia="Arial" w:cs="Arial"/>
          <w:b/>
          <w:bCs/>
          <w:sz w:val="24"/>
          <w:szCs w:val="24"/>
          <w:highlight w:val="green"/>
          <w:rtl/>
        </w:rPr>
        <w:t>صلاحية علاقة الجين بالمرض:</w:t>
      </w:r>
      <w:r>
        <w:rPr>
          <w:rFonts w:ascii="Arial" w:hAnsi="Arial" w:eastAsia="Arial" w:cs="Arial"/>
          <w:sz w:val="24"/>
          <w:szCs w:val="24"/>
          <w:highlight w:val="green"/>
          <w:rtl/>
        </w:rPr>
        <w:t xml:space="preserve"> هل الجين نفسه سبب؟ (فقد وجدت مراجعة Oud وزملائه (2019) أن 78 جيناً فقط ترتبط بالعقم الذكري بثقة، من أصل 521 علاقة بين جين ومرض خضعت للتقييم).</w:t>
      </w:r>
    </w:p>
    <w:p w14:paraId="0DD94AA3">
      <w:pPr>
        <w:pStyle w:val="16"/>
        <w:numPr>
          <w:ilvl w:val="0"/>
          <w:numId w:val="1"/>
        </w:numPr>
        <w:bidi/>
        <w:spacing w:after="90" w:line="330" w:lineRule="auto"/>
        <w:rPr>
          <w:highlight w:val="green"/>
        </w:rPr>
      </w:pPr>
      <w:r>
        <w:rPr>
          <w:rFonts w:ascii="Arial" w:hAnsi="Arial" w:eastAsia="Arial" w:cs="Arial"/>
          <w:b/>
          <w:bCs/>
          <w:sz w:val="24"/>
          <w:szCs w:val="24"/>
          <w:highlight w:val="green"/>
          <w:rtl/>
        </w:rPr>
        <w:t>إمراضية المتغير:</w:t>
      </w:r>
      <w:r>
        <w:rPr>
          <w:rFonts w:ascii="Arial" w:hAnsi="Arial" w:eastAsia="Arial" w:cs="Arial"/>
          <w:sz w:val="24"/>
          <w:szCs w:val="24"/>
          <w:highlight w:val="green"/>
          <w:rtl/>
        </w:rPr>
        <w:t xml:space="preserve"> هل هذا المتغير بعينه ممرض، ولأي مرض سُجِّل؟</w:t>
      </w:r>
    </w:p>
    <w:p w14:paraId="23300E8D">
      <w:pPr>
        <w:pStyle w:val="16"/>
        <w:numPr>
          <w:ilvl w:val="0"/>
          <w:numId w:val="1"/>
        </w:numPr>
        <w:bidi/>
        <w:spacing w:after="90" w:line="330" w:lineRule="auto"/>
        <w:rPr>
          <w:highlight w:val="green"/>
        </w:rPr>
      </w:pPr>
      <w:r>
        <w:rPr>
          <w:rFonts w:ascii="Arial" w:hAnsi="Arial" w:eastAsia="Arial" w:cs="Arial"/>
          <w:b/>
          <w:bCs/>
          <w:sz w:val="24"/>
          <w:szCs w:val="24"/>
          <w:highlight w:val="green"/>
          <w:rtl/>
        </w:rPr>
        <w:t>أولوية المتغير للتقييم المتكامل:</w:t>
      </w:r>
      <w:r>
        <w:rPr>
          <w:rFonts w:ascii="Arial" w:hAnsi="Arial" w:eastAsia="Arial" w:cs="Arial"/>
          <w:sz w:val="24"/>
          <w:szCs w:val="24"/>
          <w:highlight w:val="green"/>
          <w:rtl/>
        </w:rPr>
        <w:t xml:space="preserve"> أي المتغيرات تستحق الجهد أولاً؟</w:t>
      </w:r>
    </w:p>
    <w:p w14:paraId="78C7FB13">
      <w:pPr>
        <w:bidi/>
        <w:spacing w:after="140" w:line="340" w:lineRule="auto"/>
        <w:jc w:val="left"/>
        <w:rPr>
          <w:sz w:val="22"/>
          <w:szCs w:val="22"/>
          <w:highlight w:val="green"/>
        </w:rPr>
      </w:pPr>
      <w:r>
        <w:rPr>
          <w:rFonts w:ascii="Arial" w:hAnsi="Arial" w:eastAsia="Arial" w:cs="Arial"/>
          <w:b/>
          <w:bCs/>
          <w:sz w:val="22"/>
          <w:szCs w:val="22"/>
          <w:highlight w:val="green"/>
          <w:rtl/>
        </w:rPr>
        <w:t>معيار الإدراج الصريح.</w:t>
      </w:r>
      <w:r>
        <w:rPr>
          <w:rFonts w:ascii="Arial" w:hAnsi="Arial" w:eastAsia="Arial" w:cs="Arial"/>
          <w:sz w:val="22"/>
          <w:szCs w:val="22"/>
          <w:highlight w:val="green"/>
          <w:rtl/>
        </w:rPr>
        <w:t xml:space="preserve"> لا يدخل الجين إلى القاعدة إلا بدليل ارتباط متوسط أو أعلى وفق إطار ClinGen، ولا يُعدّ المتغير مرشحاً إلا إذا كان ممرضاً أو محتمل الإمراضية مع تقييم مُرسَل واحد على الأقل يربطه بالنمط الظاهري العقمي. فلا تختلط جودة الجين بجودة المتغير، ولا الإمراضية بالارتباط المرضي.</w:t>
      </w:r>
    </w:p>
    <w:p w14:paraId="0B170D0A">
      <w:pPr>
        <w:pStyle w:val="3"/>
        <w:keepNext/>
        <w:bidi/>
        <w:spacing w:before="280" w:after="120"/>
      </w:pPr>
      <w:r>
        <w:rPr>
          <w:rFonts w:ascii="Arial" w:hAnsi="Arial" w:eastAsia="Arial" w:cs="Arial"/>
          <w:b/>
          <w:bCs/>
          <w:sz w:val="28"/>
          <w:szCs w:val="28"/>
          <w:rtl/>
        </w:rPr>
        <w:t>4. جوهر الندرة: مطابقة المرض على مستوى التقييم المرسل</w:t>
      </w:r>
    </w:p>
    <w:p w14:paraId="5B97101C">
      <w:pPr>
        <w:bidi/>
        <w:spacing w:after="140" w:line="340" w:lineRule="auto"/>
        <w:jc w:val="left"/>
        <w:rPr>
          <w:highlight w:val="green"/>
        </w:rPr>
      </w:pPr>
      <w:r>
        <w:rPr>
          <w:rFonts w:ascii="Arial" w:hAnsi="Arial" w:eastAsia="Arial" w:cs="Arial"/>
          <w:sz w:val="24"/>
          <w:szCs w:val="24"/>
          <w:highlight w:val="green"/>
          <w:rtl/>
        </w:rPr>
        <w:t>لا يكتفي المشروع بتصنيف ClinVar الإجمالي للمتغير، بل ينزل إلى مستوى كل تقييم مُرسَل (SCV) ويسأل: لأي مرض سجّل هذا المرسِل المتغير؟ وهل هو العقم الذكري أم مرض آخر؟ وهذه أهم نقطة ندرة في المشروع. وهي ضرورية لأن المتغير الواحد قد يُسجَّل لفشل تكوين النطاف ولفشل المبيض المبكر معاً، كما في أمثلة موثقة في ClinVar.</w:t>
      </w:r>
    </w:p>
    <w:p w14:paraId="0CAE15E6">
      <w:pPr>
        <w:pStyle w:val="4"/>
        <w:keepNext/>
        <w:bidi/>
        <w:spacing w:before="280" w:after="120"/>
        <w:rPr>
          <w:highlight w:val="green"/>
        </w:rPr>
      </w:pPr>
      <w:r>
        <w:rPr>
          <w:rFonts w:ascii="Arial" w:hAnsi="Arial" w:eastAsia="Arial" w:cs="Arial"/>
          <w:b/>
          <w:bCs/>
          <w:sz w:val="25"/>
          <w:szCs w:val="25"/>
          <w:highlight w:val="green"/>
          <w:rtl/>
        </w:rPr>
        <w:t>الأرقام كما وردت في المشروع</w:t>
      </w:r>
    </w:p>
    <w:p w14:paraId="0739631D">
      <w:pPr>
        <w:pStyle w:val="16"/>
        <w:numPr>
          <w:ilvl w:val="0"/>
          <w:numId w:val="2"/>
        </w:numPr>
        <w:bidi/>
        <w:spacing w:after="90" w:line="330" w:lineRule="auto"/>
        <w:rPr>
          <w:highlight w:val="green"/>
        </w:rPr>
      </w:pPr>
      <w:r>
        <w:rPr>
          <w:rFonts w:ascii="Arial" w:hAnsi="Arial" w:eastAsia="Arial" w:cs="Arial"/>
          <w:sz w:val="24"/>
          <w:szCs w:val="24"/>
          <w:highlight w:val="green"/>
          <w:rtl/>
        </w:rPr>
        <w:t>من 6,157 متغيراً في ClinVar داخل الجينات المرشحة ← 726 ممرِضاً أو محتمل الإمراض ← 712 منها في الجينات الستة عشر المعتمدة.</w:t>
      </w:r>
    </w:p>
    <w:p w14:paraId="08138D52">
      <w:pPr>
        <w:pStyle w:val="16"/>
        <w:numPr>
          <w:ilvl w:val="0"/>
          <w:numId w:val="2"/>
        </w:numPr>
        <w:bidi/>
        <w:spacing w:after="90" w:line="330" w:lineRule="auto"/>
        <w:rPr>
          <w:highlight w:val="green"/>
        </w:rPr>
      </w:pPr>
      <w:r>
        <w:rPr>
          <w:rFonts w:ascii="Arial" w:hAnsi="Arial" w:eastAsia="Arial" w:cs="Arial"/>
          <w:sz w:val="24"/>
          <w:szCs w:val="24"/>
          <w:highlight w:val="green"/>
          <w:rtl/>
        </w:rPr>
        <w:t>من الـ712 سُجّل للعقم الذكري 177 فقط (24.9%)، أي أن نحو ثلاثة أرباعها غير مسجّلة للعقم الذكري.</w:t>
      </w:r>
    </w:p>
    <w:p w14:paraId="440F4DE4">
      <w:pPr>
        <w:pStyle w:val="16"/>
        <w:numPr>
          <w:ilvl w:val="0"/>
          <w:numId w:val="2"/>
        </w:numPr>
        <w:bidi/>
        <w:spacing w:after="90" w:line="330" w:lineRule="auto"/>
        <w:rPr>
          <w:highlight w:val="green"/>
        </w:rPr>
      </w:pPr>
      <w:r>
        <w:rPr>
          <w:rFonts w:ascii="Arial" w:hAnsi="Arial" w:eastAsia="Arial" w:cs="Arial"/>
          <w:sz w:val="24"/>
          <w:szCs w:val="24"/>
          <w:highlight w:val="green"/>
          <w:rtl/>
        </w:rPr>
        <w:t>في تحليل آخر ضمن المشروع بمقام 734 متغيراً: 175 (23.8%) لها أي دليل ارتباط بالعقم، و477 (65.0%) مسجّلة لأمراض أخرى فقط.</w:t>
      </w:r>
    </w:p>
    <w:p w14:paraId="5F997B22">
      <w:pPr>
        <w:pStyle w:val="16"/>
        <w:numPr>
          <w:ilvl w:val="0"/>
          <w:numId w:val="2"/>
        </w:numPr>
        <w:bidi/>
        <w:spacing w:after="90" w:line="330" w:lineRule="auto"/>
        <w:rPr>
          <w:highlight w:val="green"/>
        </w:rPr>
      </w:pPr>
      <w:r>
        <w:rPr>
          <w:rFonts w:ascii="Arial" w:hAnsi="Arial" w:eastAsia="Arial" w:cs="Arial"/>
          <w:sz w:val="24"/>
          <w:szCs w:val="24"/>
          <w:highlight w:val="green"/>
          <w:rtl/>
        </w:rPr>
        <w:t>في المسار الأول للجينات الخمسة: 38 متغيراً مطابقاً للعقم (6.6%)، و11 مختلطاً، و466 غير مطابق (80.5%)، و64 غير محدد.</w:t>
      </w:r>
    </w:p>
    <w:p w14:paraId="4075D28C">
      <w:pPr>
        <w:pStyle w:val="4"/>
        <w:keepNext/>
        <w:bidi/>
        <w:spacing w:before="280" w:after="120"/>
        <w:rPr>
          <w:highlight w:val="green"/>
        </w:rPr>
      </w:pPr>
      <w:r>
        <w:rPr>
          <w:rFonts w:ascii="Arial" w:hAnsi="Arial" w:eastAsia="Arial" w:cs="Arial"/>
          <w:b/>
          <w:bCs/>
          <w:sz w:val="25"/>
          <w:szCs w:val="25"/>
          <w:rtl/>
        </w:rPr>
        <w:t>أ</w:t>
      </w:r>
      <w:r>
        <w:rPr>
          <w:rFonts w:ascii="Arial" w:hAnsi="Arial" w:eastAsia="Arial" w:cs="Arial"/>
          <w:b/>
          <w:bCs/>
          <w:sz w:val="25"/>
          <w:szCs w:val="25"/>
          <w:highlight w:val="green"/>
          <w:rtl/>
        </w:rPr>
        <w:t>مثلة تبيّن أن قوة علاقة الجين لا تنتقل إلى كل متغيراته</w:t>
      </w:r>
    </w:p>
    <w:p w14:paraId="6C54579E">
      <w:pPr>
        <w:pStyle w:val="16"/>
        <w:numPr>
          <w:ilvl w:val="0"/>
          <w:numId w:val="2"/>
        </w:numPr>
        <w:bidi/>
        <w:spacing w:after="90" w:line="330" w:lineRule="auto"/>
      </w:pPr>
      <w:r>
        <w:rPr>
          <w:rFonts w:ascii="Arial" w:hAnsi="Arial" w:eastAsia="Arial" w:cs="Arial"/>
          <w:b/>
          <w:bCs/>
          <w:sz w:val="24"/>
          <w:szCs w:val="24"/>
          <w:rtl/>
        </w:rPr>
        <w:t>AR</w:t>
      </w:r>
      <w:r>
        <w:rPr>
          <w:rFonts w:ascii="Arial" w:hAnsi="Arial" w:eastAsia="Arial" w:cs="Arial"/>
          <w:sz w:val="24"/>
          <w:szCs w:val="24"/>
          <w:rtl/>
        </w:rPr>
        <w:t xml:space="preserve"> (جين بأعلى درجات الدليل للعقم): سُجّل للعقم 7 متغيرات فقط من 385 (1.8%) في إحدى جداول المشروع، وفي جدول آخر كان 340 من 397 متغيراً ممرضاً (85.6%) مسجّلاً لأمراض أخرى فقط، أبرزها متلازمة مقاومة الأندروجين ومرض كينيدي.</w:t>
      </w:r>
    </w:p>
    <w:p w14:paraId="1EAEB89A">
      <w:pPr>
        <w:pStyle w:val="16"/>
        <w:numPr>
          <w:ilvl w:val="0"/>
          <w:numId w:val="2"/>
        </w:numPr>
        <w:bidi/>
        <w:spacing w:after="90" w:line="330" w:lineRule="auto"/>
      </w:pPr>
      <w:r>
        <w:rPr>
          <w:rFonts w:ascii="Arial" w:hAnsi="Arial" w:eastAsia="Arial" w:cs="Arial"/>
          <w:b/>
          <w:bCs/>
          <w:sz w:val="24"/>
          <w:szCs w:val="24"/>
          <w:rtl/>
        </w:rPr>
        <w:t>XRCC2:</w:t>
      </w:r>
      <w:r>
        <w:rPr>
          <w:rFonts w:ascii="Arial" w:hAnsi="Arial" w:eastAsia="Arial" w:cs="Arial"/>
          <w:sz w:val="24"/>
          <w:szCs w:val="24"/>
          <w:rtl/>
        </w:rPr>
        <w:t xml:space="preserve"> كانت متغيراته السبعة عشر كلها (17/17) مسجّلة لأمراض أخرى، منها خمسة عشر مرتبطة بالاستعداد الوراثي للسرطان؛ فلم يكن له ممثِّل مطابق للمرض.</w:t>
      </w:r>
    </w:p>
    <w:p w14:paraId="2AA85285">
      <w:pPr>
        <w:pStyle w:val="16"/>
        <w:numPr>
          <w:ilvl w:val="0"/>
          <w:numId w:val="2"/>
        </w:numPr>
        <w:bidi/>
        <w:spacing w:after="90" w:line="330" w:lineRule="auto"/>
      </w:pPr>
      <w:r>
        <w:rPr>
          <w:rFonts w:ascii="Arial" w:hAnsi="Arial" w:eastAsia="Arial" w:cs="Arial"/>
          <w:b/>
          <w:bCs/>
          <w:sz w:val="24"/>
          <w:szCs w:val="24"/>
          <w:rtl/>
        </w:rPr>
        <w:t>المقابل:</w:t>
      </w:r>
      <w:r>
        <w:rPr>
          <w:rFonts w:ascii="Arial" w:hAnsi="Arial" w:eastAsia="Arial" w:cs="Arial"/>
          <w:sz w:val="24"/>
          <w:szCs w:val="24"/>
          <w:rtl/>
        </w:rPr>
        <w:t xml:space="preserve"> كانت جميع متغيرات TEX11 وTEX14 وSYCP2 وM1AP وTERB1 مسجّلة للعقم، فالقاعدة لا تعمّم حكماً واحداً على كل الجينات، بل تُظهر أيها يسهم فعلاً في النمط العقمي.</w:t>
      </w:r>
    </w:p>
    <w:p w14:paraId="3B746873">
      <w:pPr>
        <w:bidi/>
        <w:spacing w:after="140" w:line="340" w:lineRule="auto"/>
        <w:jc w:val="left"/>
      </w:pPr>
      <w:r>
        <w:rPr>
          <w:rFonts w:ascii="Arial" w:hAnsi="Arial" w:eastAsia="Arial" w:cs="Arial"/>
          <w:sz w:val="24"/>
          <w:szCs w:val="24"/>
          <w:rtl/>
        </w:rPr>
        <w:t>ويتسق هذا مع ما تذكره الأدبيات عن قواعد البيانات العامة: فقد وجد Shah وزملاؤه (2018) تضخماً ظاهرياً في مجموعات المتغيرات الممرِضة قياساً إلى انتشار المرض، بلغ حتى 11.5% من الاضطرابات في المجموعات الممرِضة وحتى 92.3% في مجموعة التفسيرات المتضاربة. وتناولت دراسات أخرى أسباب التفسيرات المتضاربة في ClinVar (Lazareva وزملاؤه، 2024) وكثرة التخفيض عند إعادة تفسير المتغيرات الشائعة (Xiang وزملاؤه، 2020).</w:t>
      </w:r>
    </w:p>
    <w:p w14:paraId="568D6174">
      <w:pPr>
        <w:pStyle w:val="4"/>
        <w:keepNext/>
        <w:bidi/>
        <w:spacing w:before="280" w:after="120"/>
        <w:rPr>
          <w:highlight w:val="green"/>
        </w:rPr>
      </w:pPr>
      <w:r>
        <w:rPr>
          <w:rFonts w:ascii="Arial" w:hAnsi="Arial" w:eastAsia="Arial" w:cs="Arial"/>
          <w:b/>
          <w:bCs/>
          <w:sz w:val="25"/>
          <w:szCs w:val="25"/>
          <w:rtl/>
        </w:rPr>
        <w:t>«</w:t>
      </w:r>
      <w:r>
        <w:rPr>
          <w:rFonts w:ascii="Arial" w:hAnsi="Arial" w:eastAsia="Arial" w:cs="Arial"/>
          <w:b/>
          <w:bCs/>
          <w:sz w:val="25"/>
          <w:szCs w:val="25"/>
          <w:highlight w:val="green"/>
          <w:rtl/>
        </w:rPr>
        <w:t>أعلى CADD وحده» لا يكفي</w:t>
      </w:r>
    </w:p>
    <w:p w14:paraId="1EBF8B96">
      <w:pPr>
        <w:bidi/>
        <w:spacing w:after="140" w:line="340" w:lineRule="auto"/>
        <w:jc w:val="left"/>
      </w:pPr>
      <w:r>
        <w:rPr>
          <w:rFonts w:ascii="Arial" w:hAnsi="Arial" w:eastAsia="Arial" w:cs="Arial"/>
          <w:sz w:val="24"/>
          <w:szCs w:val="24"/>
          <w:rtl/>
        </w:rPr>
        <w:t>تُرتِّب كثير من التحليلات المتغيرات حسب CADD وتختار الأعلى. وقد اختبر المشروع ذلك عملياً: كانت هذه القاعدة وحدها ستختار 6 من 15 ممثِّلاً (40%) مسجّلين لأمراض أخرى، بينما لم يغيّر تحريك عتبة CADD من 15 إلى 25 أياً منها. وفي فئة missense كان 4 من 14 اختياراً بأعلى CADD غير مسجّلين للعقم الذكري، واستُبعد في NR5A1 متغير بدرجة CADD 35 لأن مرضه المسجَّل متلازمة مختلطة. فالدرجة تقيس احتمال الضرر العام لا الصلة بمرض بعينه، وهذا ظهر في بيانات المشروع نفسها.</w:t>
      </w:r>
    </w:p>
    <w:p w14:paraId="5D11149D">
      <w:pPr>
        <w:pStyle w:val="3"/>
        <w:keepNext/>
        <w:bidi/>
        <w:spacing w:before="280" w:after="120"/>
        <w:rPr>
          <w:highlight w:val="green"/>
        </w:rPr>
      </w:pPr>
      <w:r>
        <w:rPr>
          <w:rFonts w:ascii="Arial" w:hAnsi="Arial" w:eastAsia="Arial" w:cs="Arial"/>
          <w:b/>
          <w:bCs/>
          <w:sz w:val="28"/>
          <w:szCs w:val="28"/>
          <w:rtl/>
        </w:rPr>
        <w:t>5</w:t>
      </w:r>
      <w:r>
        <w:rPr>
          <w:rFonts w:ascii="Arial" w:hAnsi="Arial" w:eastAsia="Arial" w:cs="Arial"/>
          <w:b/>
          <w:bCs/>
          <w:sz w:val="28"/>
          <w:szCs w:val="28"/>
          <w:highlight w:val="green"/>
          <w:rtl/>
        </w:rPr>
        <w:t>. الثبات المنهجي</w:t>
      </w:r>
    </w:p>
    <w:p w14:paraId="31D1AFE4">
      <w:pPr>
        <w:pStyle w:val="16"/>
        <w:numPr>
          <w:ilvl w:val="0"/>
          <w:numId w:val="2"/>
        </w:numPr>
        <w:bidi/>
        <w:spacing w:after="90" w:line="330" w:lineRule="auto"/>
      </w:pPr>
      <w:r>
        <w:rPr>
          <w:rFonts w:ascii="Arial" w:hAnsi="Arial" w:eastAsia="Arial" w:cs="Arial"/>
          <w:b/>
          <w:bCs/>
          <w:sz w:val="24"/>
          <w:szCs w:val="24"/>
          <w:rtl/>
        </w:rPr>
        <w:t>تعريف المجموعات قبل الاطلاع على النتائج:</w:t>
      </w:r>
      <w:r>
        <w:rPr>
          <w:rFonts w:ascii="Arial" w:hAnsi="Arial" w:eastAsia="Arial" w:cs="Arial"/>
          <w:sz w:val="24"/>
          <w:szCs w:val="24"/>
          <w:rtl/>
        </w:rPr>
        <w:t xml:space="preserve"> المجموعة H (قاعدة آلية: أعلى CADD بلا شرط مرض)، والمجموعة C (أعلى CADD بين المتغيرات المطابقة للمرض)، والمجموعة M (أقوى متغير missense لكل جين). وهذا يشبه التسجيل المسبق للفرضية ويمنع انتقاء النتائج بعد رؤيتها.</w:t>
      </w:r>
    </w:p>
    <w:p w14:paraId="79AA637A">
      <w:pPr>
        <w:pStyle w:val="16"/>
        <w:numPr>
          <w:ilvl w:val="0"/>
          <w:numId w:val="2"/>
        </w:numPr>
        <w:bidi/>
        <w:spacing w:after="90" w:line="330" w:lineRule="auto"/>
      </w:pPr>
      <w:r>
        <w:rPr>
          <w:rFonts w:ascii="Arial" w:hAnsi="Arial" w:eastAsia="Arial" w:cs="Arial"/>
          <w:b/>
          <w:bCs/>
          <w:sz w:val="24"/>
          <w:szCs w:val="24"/>
          <w:rtl/>
        </w:rPr>
        <w:t>تسعة سيناريوهات للعتبات</w:t>
      </w:r>
      <w:r>
        <w:rPr>
          <w:rFonts w:ascii="Arial" w:hAnsi="Arial" w:eastAsia="Arial" w:cs="Arial"/>
          <w:sz w:val="24"/>
          <w:szCs w:val="24"/>
          <w:rtl/>
        </w:rPr>
        <w:t xml:space="preserve"> (CADD: 15 و20 و25؛ gnomAD: 0.0001 و0.001 و0.01): بقي الممثلون الخمسة عشر ثابتين في جميعها. فما يتغيّر مع العتبة هو حجم قائمة المرشحين لا هوية الممثلين.</w:t>
      </w:r>
    </w:p>
    <w:p w14:paraId="5066638C">
      <w:pPr>
        <w:pStyle w:val="16"/>
        <w:numPr>
          <w:ilvl w:val="0"/>
          <w:numId w:val="2"/>
        </w:numPr>
        <w:bidi/>
        <w:spacing w:after="90" w:line="330" w:lineRule="auto"/>
      </w:pPr>
      <w:r>
        <w:rPr>
          <w:rFonts w:ascii="Arial" w:hAnsi="Arial" w:eastAsia="Arial" w:cs="Arial"/>
          <w:b/>
          <w:bCs/>
          <w:sz w:val="24"/>
          <w:szCs w:val="24"/>
          <w:rtl/>
        </w:rPr>
        <w:t>عتبة الندرة لا تصنع القائمة:</w:t>
      </w:r>
      <w:r>
        <w:rPr>
          <w:rFonts w:ascii="Arial" w:hAnsi="Arial" w:eastAsia="Arial" w:cs="Arial"/>
          <w:sz w:val="24"/>
          <w:szCs w:val="24"/>
          <w:rtl/>
        </w:rPr>
        <w:t xml:space="preserve"> كان 549 من 727 متغيراً غائبة عن gnomAD، واستبعدت العتبة متغيراً واحداً فقط (MEI1 بتردد 0.002171).</w:t>
      </w:r>
    </w:p>
    <w:p w14:paraId="6DFC8C59">
      <w:pPr>
        <w:pStyle w:val="16"/>
        <w:numPr>
          <w:ilvl w:val="0"/>
          <w:numId w:val="2"/>
        </w:numPr>
        <w:bidi/>
        <w:spacing w:after="90" w:line="330" w:lineRule="auto"/>
      </w:pPr>
      <w:r>
        <w:rPr>
          <w:rFonts w:ascii="Arial" w:hAnsi="Arial" w:eastAsia="Arial" w:cs="Arial"/>
          <w:b/>
          <w:bCs/>
          <w:sz w:val="24"/>
          <w:szCs w:val="24"/>
          <w:rtl/>
        </w:rPr>
        <w:t>تطابق المسارين الأولين تطابقاً كاملاً</w:t>
      </w:r>
      <w:r>
        <w:rPr>
          <w:rFonts w:ascii="Arial" w:hAnsi="Arial" w:eastAsia="Arial" w:cs="Arial"/>
          <w:sz w:val="24"/>
          <w:szCs w:val="24"/>
          <w:rtl/>
        </w:rPr>
        <w:t xml:space="preserve"> في القيم الأساسية (469/469 درجة CADD و131/131 تردداً أليلياً)، وأعاد التحليل الموحد الممثلين الخمسة عشر كلهم.</w:t>
      </w:r>
    </w:p>
    <w:p w14:paraId="3C6BDCA0">
      <w:pPr>
        <w:bidi/>
        <w:spacing w:after="140" w:line="340" w:lineRule="auto"/>
        <w:jc w:val="left"/>
      </w:pPr>
      <w:r>
        <w:rPr>
          <w:rFonts w:ascii="Arial" w:hAnsi="Arial" w:eastAsia="Arial" w:cs="Arial"/>
          <w:sz w:val="24"/>
          <w:szCs w:val="24"/>
          <w:rtl/>
        </w:rPr>
        <w:t>والتعريف المسبق واختبار الحساسية ممارستان نادرتان في مشاريع التخرج، وهما ما يفرّق بين تحليل «يبدو جيداً» وتحليل «قابل للتكرار والاختبار».</w:t>
      </w:r>
    </w:p>
    <w:p w14:paraId="63DFE77A">
      <w:pPr>
        <w:pStyle w:val="3"/>
        <w:keepNext/>
        <w:bidi/>
        <w:spacing w:before="280" w:after="120"/>
      </w:pPr>
      <w:r>
        <w:rPr>
          <w:rFonts w:ascii="Arial" w:hAnsi="Arial" w:eastAsia="Arial" w:cs="Arial"/>
          <w:b/>
          <w:bCs/>
          <w:sz w:val="28"/>
          <w:szCs w:val="28"/>
          <w:rtl/>
        </w:rPr>
        <w:t>6</w:t>
      </w:r>
      <w:bookmarkStart w:id="0" w:name="_GoBack"/>
      <w:r>
        <w:rPr>
          <w:rFonts w:ascii="Arial" w:hAnsi="Arial" w:eastAsia="Arial" w:cs="Arial"/>
          <w:b/>
          <w:bCs/>
          <w:sz w:val="28"/>
          <w:szCs w:val="28"/>
          <w:highlight w:val="green"/>
          <w:rtl/>
        </w:rPr>
        <w:t>. القوة التقنية والهندسية</w:t>
      </w:r>
      <w:bookmarkEnd w:id="0"/>
    </w:p>
    <w:p w14:paraId="59DE6339">
      <w:pPr>
        <w:pStyle w:val="16"/>
        <w:numPr>
          <w:ilvl w:val="0"/>
          <w:numId w:val="2"/>
        </w:numPr>
        <w:bidi/>
        <w:spacing w:after="90" w:line="330" w:lineRule="auto"/>
      </w:pPr>
      <w:r>
        <w:rPr>
          <w:rFonts w:ascii="Arial" w:hAnsi="Arial" w:eastAsia="Arial" w:cs="Arial"/>
          <w:b/>
          <w:bCs/>
          <w:sz w:val="24"/>
          <w:szCs w:val="24"/>
          <w:rtl/>
        </w:rPr>
        <w:t>التتبّع خلية-إلى-مصدر:</w:t>
      </w:r>
      <w:r>
        <w:rPr>
          <w:rFonts w:ascii="Arial" w:hAnsi="Arial" w:eastAsia="Arial" w:cs="Arial"/>
          <w:sz w:val="24"/>
          <w:szCs w:val="24"/>
          <w:rtl/>
        </w:rPr>
        <w:t xml:space="preserve"> مصفوفة Excel بمعادلات INDEX/MATCH تستدعي القيم من أوراق مصدرها (ضمن 48 ورقة)، فلا توجد قيمة منسوخة يدوياً وغير قابلة للتتبع.</w:t>
      </w:r>
    </w:p>
    <w:p w14:paraId="39F6734F">
      <w:pPr>
        <w:pStyle w:val="16"/>
        <w:numPr>
          <w:ilvl w:val="0"/>
          <w:numId w:val="2"/>
        </w:numPr>
        <w:bidi/>
        <w:spacing w:after="90" w:line="330" w:lineRule="auto"/>
      </w:pPr>
      <w:r>
        <w:rPr>
          <w:rFonts w:ascii="Arial" w:hAnsi="Arial" w:eastAsia="Arial" w:cs="Arial"/>
          <w:b/>
          <w:bCs/>
          <w:sz w:val="24"/>
          <w:szCs w:val="24"/>
          <w:rtl/>
        </w:rPr>
        <w:t>إعادة حساب التعبير من الملفات الخام (GTEx v8 وHPA):</w:t>
      </w:r>
      <w:r>
        <w:rPr>
          <w:rFonts w:ascii="Arial" w:hAnsi="Arial" w:eastAsia="Arial" w:cs="Arial"/>
          <w:sz w:val="24"/>
          <w:szCs w:val="24"/>
          <w:rtl/>
        </w:rPr>
        <w:t xml:space="preserve"> وكشف ذلك أخطاء موثّقة؛ فقيمة MSH5 في الخصية كانت 3.10 فصُحّحت إلى 34.60، وقيمة AR كانت 32.40 فصُحّحت إلى 7.02.</w:t>
      </w:r>
    </w:p>
    <w:p w14:paraId="02B08BEC">
      <w:pPr>
        <w:pStyle w:val="16"/>
        <w:numPr>
          <w:ilvl w:val="0"/>
          <w:numId w:val="2"/>
        </w:numPr>
        <w:bidi/>
        <w:spacing w:after="90" w:line="330" w:lineRule="auto"/>
      </w:pPr>
      <w:r>
        <w:rPr>
          <w:rFonts w:ascii="Arial" w:hAnsi="Arial" w:eastAsia="Arial" w:cs="Arial"/>
          <w:b/>
          <w:bCs/>
          <w:sz w:val="24"/>
          <w:szCs w:val="24"/>
          <w:rtl/>
        </w:rPr>
        <w:t>بنية إعادة الإنتاج:</w:t>
      </w:r>
      <w:r>
        <w:rPr>
          <w:rFonts w:ascii="Arial" w:hAnsi="Arial" w:eastAsia="Arial" w:cs="Arial"/>
          <w:sz w:val="24"/>
          <w:szCs w:val="24"/>
          <w:rtl/>
        </w:rPr>
        <w:t xml:space="preserve"> بصمات SHA-256، ودفتر Colab قابل لإعادة التشغيل، ومدخلات للقراءة فقط، ولا كتابة فوق مخرجات مرحلة سابقة، وكل تصحيح في مجلد جديد، ولا قيمة بديلة عند الفشل.</w:t>
      </w:r>
    </w:p>
    <w:p w14:paraId="73057AB0">
      <w:pPr>
        <w:pStyle w:val="16"/>
        <w:numPr>
          <w:ilvl w:val="0"/>
          <w:numId w:val="2"/>
        </w:numPr>
        <w:bidi/>
        <w:spacing w:after="90" w:line="330" w:lineRule="auto"/>
      </w:pPr>
      <w:r>
        <w:rPr>
          <w:rFonts w:ascii="Arial" w:hAnsi="Arial" w:eastAsia="Arial" w:cs="Arial"/>
          <w:b/>
          <w:bCs/>
          <w:sz w:val="24"/>
          <w:szCs w:val="24"/>
          <w:rtl/>
        </w:rPr>
        <w:t>ضبط المرجعية والتحقق البنيوي:</w:t>
      </w:r>
      <w:r>
        <w:rPr>
          <w:rFonts w:ascii="Arial" w:hAnsi="Arial" w:eastAsia="Arial" w:cs="Arial"/>
          <w:sz w:val="24"/>
          <w:szCs w:val="24"/>
          <w:rtl/>
        </w:rPr>
        <w:t xml:space="preserve"> استُخدمت مرجعية MANE Select وتُحقق من الحمض الأميني في النماذج البنيوية، فكُشفت إزاحة في الترقيم في TEX11 وSHOC1 وامتُنع عن تفسير SHOC1 بدل تقديم تفسير خاطئ.</w:t>
      </w:r>
    </w:p>
    <w:p w14:paraId="2BBC1718">
      <w:pPr>
        <w:pStyle w:val="16"/>
        <w:numPr>
          <w:ilvl w:val="0"/>
          <w:numId w:val="2"/>
        </w:numPr>
        <w:bidi/>
        <w:spacing w:after="90" w:line="330" w:lineRule="auto"/>
      </w:pPr>
      <w:r>
        <w:rPr>
          <w:rFonts w:ascii="Arial" w:hAnsi="Arial" w:eastAsia="Arial" w:cs="Arial"/>
          <w:b/>
          <w:bCs/>
          <w:sz w:val="24"/>
          <w:szCs w:val="24"/>
          <w:rtl/>
        </w:rPr>
        <w:t>تكامل ثلاث عشرة طبقة بيانات في مصفوفة واحدة:</w:t>
      </w:r>
      <w:r>
        <w:rPr>
          <w:rFonts w:ascii="Arial" w:hAnsi="Arial" w:eastAsia="Arial" w:cs="Arial"/>
          <w:sz w:val="24"/>
          <w:szCs w:val="24"/>
          <w:rtl/>
        </w:rPr>
        <w:t xml:space="preserve"> ClinVar (SCV) وCADD v1.7 وgnomAD v4.1.1 وSpliceAI وREVEL وAlphaMissense وLOFTEE وNMD و1000 Genomes وOMIM وGTEx v8 وHPA (RNA وتلوين مناعي) وAlphaFold/UniProt.</w:t>
      </w:r>
    </w:p>
    <w:p w14:paraId="07D5BB84">
      <w:pPr>
        <w:pStyle w:val="16"/>
        <w:numPr>
          <w:ilvl w:val="0"/>
          <w:numId w:val="2"/>
        </w:numPr>
        <w:bidi/>
        <w:spacing w:after="90" w:line="330" w:lineRule="auto"/>
      </w:pPr>
      <w:r>
        <w:rPr>
          <w:rFonts w:ascii="Arial" w:hAnsi="Arial" w:eastAsia="Arial" w:cs="Arial"/>
          <w:b/>
          <w:bCs/>
          <w:sz w:val="24"/>
          <w:szCs w:val="24"/>
          <w:rtl/>
        </w:rPr>
        <w:t>إدارة القيم المفقودة بثلاث حالات:</w:t>
      </w:r>
      <w:r>
        <w:rPr>
          <w:rFonts w:ascii="Arial" w:hAnsi="Arial" w:eastAsia="Arial" w:cs="Arial"/>
          <w:sz w:val="24"/>
          <w:szCs w:val="24"/>
          <w:rtl/>
        </w:rPr>
        <w:t xml:space="preserve"> «غير ملاحظ» و«غير متاح تقنياً» و«غير منطبق»، دون حشو أو استنتاج إحداثيات.</w:t>
      </w:r>
    </w:p>
    <w:p w14:paraId="17AF9E96">
      <w:pPr>
        <w:pStyle w:val="3"/>
        <w:keepNext/>
        <w:bidi/>
        <w:spacing w:before="280" w:after="120"/>
        <w:rPr>
          <w:highlight w:val="green"/>
        </w:rPr>
      </w:pPr>
      <w:r>
        <w:rPr>
          <w:rFonts w:ascii="Arial" w:hAnsi="Arial" w:eastAsia="Arial" w:cs="Arial"/>
          <w:b/>
          <w:bCs/>
          <w:sz w:val="28"/>
          <w:szCs w:val="28"/>
          <w:rtl/>
        </w:rPr>
        <w:t xml:space="preserve">7. </w:t>
      </w:r>
      <w:r>
        <w:rPr>
          <w:rFonts w:ascii="Arial" w:hAnsi="Arial" w:eastAsia="Arial" w:cs="Arial"/>
          <w:b/>
          <w:bCs/>
          <w:sz w:val="28"/>
          <w:szCs w:val="28"/>
          <w:highlight w:val="green"/>
          <w:rtl/>
        </w:rPr>
        <w:t>متغيرات missense والتحليل البنيوي وNMD</w:t>
      </w:r>
    </w:p>
    <w:p w14:paraId="5A573760">
      <w:pPr>
        <w:pStyle w:val="16"/>
        <w:numPr>
          <w:ilvl w:val="0"/>
          <w:numId w:val="2"/>
        </w:numPr>
        <w:bidi/>
        <w:spacing w:after="90" w:line="330" w:lineRule="auto"/>
      </w:pPr>
      <w:r>
        <w:rPr>
          <w:rFonts w:ascii="Arial" w:hAnsi="Arial" w:eastAsia="Arial" w:cs="Arial"/>
          <w:sz w:val="24"/>
          <w:szCs w:val="24"/>
          <w:rtl/>
        </w:rPr>
        <w:t>لأن قاعدة الاختيار تميل إلى متغيرات الإيقاف عالية الدرجة، خُصّص توسّع لاختيار أقوى متغير missense لكل جين بصيغتين: أعلى CADD وحده، وCADD مع مطابقة المرض.</w:t>
      </w:r>
    </w:p>
    <w:p w14:paraId="6AF81BCD">
      <w:pPr>
        <w:pStyle w:val="16"/>
        <w:numPr>
          <w:ilvl w:val="0"/>
          <w:numId w:val="2"/>
        </w:numPr>
        <w:bidi/>
        <w:spacing w:after="90" w:line="330" w:lineRule="auto"/>
      </w:pPr>
      <w:r>
        <w:rPr>
          <w:rFonts w:ascii="Arial" w:hAnsi="Arial" w:eastAsia="Arial" w:cs="Arial"/>
          <w:sz w:val="24"/>
          <w:szCs w:val="24"/>
          <w:rtl/>
        </w:rPr>
        <w:t>عُرض نحو ثلاثة عشر متغير missense في ChimeraX وPyMOL فوق نماذج AlphaFold مع قيم pLDDT، ومعها ملفات أوامر قابلة للإعادة. وهو تحليل وصفي يولّد فرضيات ولا يثبت الإمراضية.</w:t>
      </w:r>
    </w:p>
    <w:p w14:paraId="0BCEF9F0">
      <w:pPr>
        <w:pStyle w:val="16"/>
        <w:numPr>
          <w:ilvl w:val="0"/>
          <w:numId w:val="2"/>
        </w:numPr>
        <w:bidi/>
        <w:spacing w:after="90" w:line="330" w:lineRule="auto"/>
      </w:pPr>
      <w:r>
        <w:rPr>
          <w:rFonts w:ascii="Arial" w:hAnsi="Arial" w:eastAsia="Arial" w:cs="Arial"/>
          <w:sz w:val="24"/>
          <w:szCs w:val="24"/>
          <w:rtl/>
        </w:rPr>
        <w:t>تُوقِّع حدوث الاضمحلال NMD في جميع متغيرات الإيقاف الثمانية، وهو توقع حاسوبي لا إثبات وظيفي.</w:t>
      </w:r>
    </w:p>
    <w:p w14:paraId="21F71F97">
      <w:pPr>
        <w:pStyle w:val="16"/>
        <w:numPr>
          <w:ilvl w:val="0"/>
          <w:numId w:val="2"/>
        </w:numPr>
        <w:bidi/>
        <w:spacing w:after="90" w:line="330" w:lineRule="auto"/>
      </w:pPr>
      <w:r>
        <w:rPr>
          <w:rFonts w:ascii="Arial" w:hAnsi="Arial" w:eastAsia="Arial" w:cs="Arial"/>
          <w:sz w:val="24"/>
          <w:szCs w:val="24"/>
          <w:rtl/>
        </w:rPr>
        <w:t>المجموعة النهائية: 15 ممثِّلاً في 16 جيناً (8 إيقاف و5 وصل و2 missense)، بدرجات CADD بين 27.2 و46، وستة منها غائبة عن gnomAD والتسعة الباقية بتردد لا يتجاوز 0.00007.</w:t>
      </w:r>
    </w:p>
    <w:p w14:paraId="48EE5DA5">
      <w:pPr>
        <w:pStyle w:val="16"/>
        <w:numPr>
          <w:ilvl w:val="0"/>
          <w:numId w:val="2"/>
        </w:numPr>
        <w:bidi/>
        <w:spacing w:after="90" w:line="330" w:lineRule="auto"/>
      </w:pPr>
      <w:r>
        <w:rPr>
          <w:rFonts w:ascii="Arial" w:hAnsi="Arial" w:eastAsia="Arial" w:cs="Arial"/>
          <w:sz w:val="24"/>
          <w:szCs w:val="24"/>
          <w:rtl/>
        </w:rPr>
        <w:t>تتقاطع الجينات الأكثر تكراراً في تحليل Zhou (2025) مثل AR وTEX11 وM1AP وDMRT1 مع مجموعة المشروع، وكان NR5A1 الأكثر تكراراً في دراسة Lillepea (2024)، وهذا تدعيم خارجي لا ينبع من خصوصية القاعدة وحدها.</w:t>
      </w:r>
    </w:p>
    <w:p w14:paraId="5D61B7DD">
      <w:pPr>
        <w:pStyle w:val="3"/>
        <w:keepNext/>
        <w:bidi/>
        <w:spacing w:before="280" w:after="120"/>
      </w:pPr>
      <w:r>
        <w:rPr>
          <w:rFonts w:ascii="Arial" w:hAnsi="Arial" w:eastAsia="Arial" w:cs="Arial"/>
          <w:b/>
          <w:bCs/>
          <w:sz w:val="28"/>
          <w:szCs w:val="28"/>
          <w:rtl/>
        </w:rPr>
        <w:t>8</w:t>
      </w:r>
      <w:r>
        <w:rPr>
          <w:rFonts w:ascii="Arial" w:hAnsi="Arial" w:eastAsia="Arial" w:cs="Arial"/>
          <w:b/>
          <w:bCs/>
          <w:sz w:val="28"/>
          <w:szCs w:val="28"/>
          <w:highlight w:val="green"/>
          <w:rtl/>
        </w:rPr>
        <w:t>. القوة الإحصائية</w:t>
      </w:r>
    </w:p>
    <w:p w14:paraId="07A53FB5">
      <w:pPr>
        <w:bidi/>
        <w:spacing w:after="140" w:line="340" w:lineRule="auto"/>
        <w:jc w:val="left"/>
      </w:pPr>
      <w:r>
        <w:rPr>
          <w:rFonts w:ascii="Arial" w:hAnsi="Arial" w:eastAsia="Arial" w:cs="Arial"/>
          <w:sz w:val="24"/>
          <w:szCs w:val="24"/>
          <w:rtl/>
        </w:rPr>
        <w:t>اختيرت الاختبارات لتناسب البيانات المقترنة: Cochran’s Q للمقارنة الكلية، وMcNemar الدقيق للمقارنات الزوجية، وتصحيح Holm لتعدّد المقارنات، وفواصل Wilson للنسب، ومعامل Jaccard للتداخل، وBootstrap عنقودي على مستوى الجين بثلاثة آلاف تكرار (بذرة 20261012).</w:t>
      </w:r>
    </w:p>
    <w:p w14:paraId="2A2929CF">
      <w:pPr>
        <w:pStyle w:val="16"/>
        <w:numPr>
          <w:ilvl w:val="0"/>
          <w:numId w:val="2"/>
        </w:numPr>
        <w:bidi/>
        <w:spacing w:after="90" w:line="330" w:lineRule="auto"/>
      </w:pPr>
      <w:r>
        <w:rPr>
          <w:rFonts w:ascii="Arial" w:hAnsi="Arial" w:eastAsia="Arial" w:cs="Arial"/>
          <w:sz w:val="24"/>
          <w:szCs w:val="24"/>
          <w:rtl/>
        </w:rPr>
        <w:t>قيم Cochran’s Q لأربع أدوات: المجموعة H: Q = 9.790 وp = 0.0204؛ C: Q = 7.828 وp = 0.0497؛ M: Q = 14.087 وp = 0.0028. ولثلاث أدوات في المجموعة M: p = 0.0023.</w:t>
      </w:r>
    </w:p>
    <w:p w14:paraId="7C465F73">
      <w:pPr>
        <w:pStyle w:val="16"/>
        <w:numPr>
          <w:ilvl w:val="0"/>
          <w:numId w:val="2"/>
        </w:numPr>
        <w:bidi/>
        <w:spacing w:after="90" w:line="330" w:lineRule="auto"/>
      </w:pPr>
      <w:r>
        <w:rPr>
          <w:rFonts w:ascii="Arial" w:hAnsi="Arial" w:eastAsia="Arial" w:cs="Arial"/>
          <w:sz w:val="24"/>
          <w:szCs w:val="24"/>
          <w:rtl/>
        </w:rPr>
        <w:t>من 18 مقارنة زوجية كانت لأربع منها قيمة p خام دون 0.05، ولم تصمد أي منها بعد تصحيح Holm (أصغر قيمة مصحَّحة 0.1143).</w:t>
      </w:r>
    </w:p>
    <w:p w14:paraId="767FCA66">
      <w:pPr>
        <w:pStyle w:val="16"/>
        <w:numPr>
          <w:ilvl w:val="0"/>
          <w:numId w:val="2"/>
        </w:numPr>
        <w:bidi/>
        <w:spacing w:after="90" w:line="330" w:lineRule="auto"/>
      </w:pPr>
      <w:r>
        <w:rPr>
          <w:rFonts w:ascii="Arial" w:hAnsi="Arial" w:eastAsia="Arial" w:cs="Arial"/>
          <w:sz w:val="24"/>
          <w:szCs w:val="24"/>
          <w:rtl/>
        </w:rPr>
        <w:t>عُرضت عدم الدلالة بعد التصحيح بدل إخفائها. والتفسير المرجّح هو صغر حجم العينة (20–32 متغيراً لكل مجموعة) مع تعدّد المقارنات.</w:t>
      </w:r>
    </w:p>
    <w:p w14:paraId="1AC9FC01">
      <w:pPr>
        <w:pStyle w:val="16"/>
        <w:numPr>
          <w:ilvl w:val="0"/>
          <w:numId w:val="2"/>
        </w:numPr>
        <w:bidi/>
        <w:spacing w:after="90" w:line="330" w:lineRule="auto"/>
      </w:pPr>
      <w:r>
        <w:rPr>
          <w:rFonts w:ascii="Arial" w:hAnsi="Arial" w:eastAsia="Arial" w:cs="Arial"/>
          <w:sz w:val="24"/>
          <w:szCs w:val="24"/>
          <w:rtl/>
        </w:rPr>
        <w:t>لم تُرتَّب الأدوات حسب «الدقة السريرية» لعدم وجود معيار مرجعي مستقل، بل بمعيار واحد معلن هو الاتفاق مع المرجع الداخلي الموثَّق.</w:t>
      </w:r>
    </w:p>
    <w:p w14:paraId="0F2B6937">
      <w:pPr>
        <w:pStyle w:val="3"/>
        <w:keepNext/>
        <w:bidi/>
        <w:spacing w:before="280" w:after="120"/>
      </w:pPr>
      <w:r>
        <w:rPr>
          <w:rFonts w:ascii="Arial" w:hAnsi="Arial" w:eastAsia="Arial" w:cs="Arial"/>
          <w:b/>
          <w:bCs/>
          <w:sz w:val="28"/>
          <w:szCs w:val="28"/>
          <w:rtl/>
        </w:rPr>
        <w:t>9</w:t>
      </w:r>
      <w:r>
        <w:rPr>
          <w:rFonts w:ascii="Arial" w:hAnsi="Arial" w:eastAsia="Arial" w:cs="Arial"/>
          <w:b/>
          <w:bCs/>
          <w:sz w:val="28"/>
          <w:szCs w:val="28"/>
          <w:highlight w:val="green"/>
          <w:rtl/>
        </w:rPr>
        <w:t>. التعامل مع الذكاء الاصطناعي: إسهام منهجي</w:t>
      </w:r>
    </w:p>
    <w:p w14:paraId="02441D47">
      <w:pPr>
        <w:pStyle w:val="16"/>
        <w:numPr>
          <w:ilvl w:val="0"/>
          <w:numId w:val="2"/>
        </w:numPr>
        <w:bidi/>
        <w:spacing w:after="90" w:line="330" w:lineRule="auto"/>
      </w:pPr>
      <w:r>
        <w:rPr>
          <w:rFonts w:ascii="Arial" w:hAnsi="Arial" w:eastAsia="Arial" w:cs="Arial"/>
          <w:b/>
          <w:bCs/>
          <w:sz w:val="24"/>
          <w:szCs w:val="24"/>
          <w:rtl/>
        </w:rPr>
        <w:t>ست أدوات ونماذج</w:t>
      </w:r>
      <w:r>
        <w:rPr>
          <w:rFonts w:ascii="Arial" w:hAnsi="Arial" w:eastAsia="Arial" w:cs="Arial"/>
          <w:sz w:val="24"/>
          <w:szCs w:val="24"/>
          <w:rtl/>
        </w:rPr>
        <w:t xml:space="preserve"> أُعطيت الخطة نفسها: Claude (Opus 5.5) وDevin وGemini 3 Pro بأمر واحد، وChatGPT Plus وOpenCode مرحلةً بمرحلة، وأُسندت إلى GPT-6 Astra مع ChatGPT Plus وOpenCode مهمة تحقق على 14 متغيراً. وقورنت بمرجعين تقليديين: Galaxy وGoogle Colab.</w:t>
      </w:r>
    </w:p>
    <w:p w14:paraId="3A5AD438">
      <w:pPr>
        <w:pStyle w:val="16"/>
        <w:numPr>
          <w:ilvl w:val="0"/>
          <w:numId w:val="2"/>
        </w:numPr>
        <w:bidi/>
        <w:spacing w:after="90" w:line="330" w:lineRule="auto"/>
      </w:pPr>
      <w:r>
        <w:rPr>
          <w:rFonts w:ascii="Arial" w:hAnsi="Arial" w:eastAsia="Arial" w:cs="Arial"/>
          <w:b/>
          <w:bCs/>
          <w:sz w:val="24"/>
          <w:szCs w:val="24"/>
          <w:rtl/>
        </w:rPr>
        <w:t>تدقيق استقلالية المخرجات بالبصمات الرقمية:</w:t>
      </w:r>
      <w:r>
        <w:rPr>
          <w:rFonts w:ascii="Arial" w:hAnsi="Arial" w:eastAsia="Arial" w:cs="Arial"/>
          <w:sz w:val="24"/>
          <w:szCs w:val="24"/>
          <w:rtl/>
        </w:rPr>
        <w:t xml:space="preserve"> بيّن تدقيق SHA-256 أن 21 من 22 ملفاً في المهمة الأولى بين OpenCode وChatGPT Plus كانت متطابقة بايت ببايت، أي أنهما ليسا تشغيلين مستقلين، وأن أي تطابق بينهما ليس اتفاقاً مستقلاً.</w:t>
      </w:r>
    </w:p>
    <w:p w14:paraId="27B9AC5B">
      <w:pPr>
        <w:pStyle w:val="16"/>
        <w:numPr>
          <w:ilvl w:val="0"/>
          <w:numId w:val="2"/>
        </w:numPr>
        <w:bidi/>
        <w:spacing w:after="90" w:line="330" w:lineRule="auto"/>
      </w:pPr>
      <w:r>
        <w:rPr>
          <w:rFonts w:ascii="Arial" w:hAnsi="Arial" w:eastAsia="Arial" w:cs="Arial"/>
          <w:b/>
          <w:bCs/>
          <w:sz w:val="24"/>
          <w:szCs w:val="24"/>
          <w:rtl/>
        </w:rPr>
        <w:t>قراءة الملفات الخام تكشف أخطاء الذاكرة:</w:t>
      </w:r>
      <w:r>
        <w:rPr>
          <w:rFonts w:ascii="Arial" w:hAnsi="Arial" w:eastAsia="Arial" w:cs="Arial"/>
          <w:sz w:val="24"/>
          <w:szCs w:val="24"/>
          <w:rtl/>
        </w:rPr>
        <w:t xml:space="preserve"> خالف Gemini ملف GTEx الخام في 14 من 14 جيناً (16 من 16 ادعاءً مخالفاً؛ فاصل Wilson من 80.6% إلى 100%)، ونسب إلى MFGA تصنيفاً غير موجود في القاعدة. وأعاد OpenCode حساب GTEx من الملف الخام فكشف المخالفات.</w:t>
      </w:r>
    </w:p>
    <w:p w14:paraId="5A444E39">
      <w:pPr>
        <w:pStyle w:val="16"/>
        <w:numPr>
          <w:ilvl w:val="0"/>
          <w:numId w:val="2"/>
        </w:numPr>
        <w:bidi/>
        <w:spacing w:after="90" w:line="330" w:lineRule="auto"/>
      </w:pPr>
      <w:r>
        <w:rPr>
          <w:rFonts w:ascii="Arial" w:hAnsi="Arial" w:eastAsia="Arial" w:cs="Arial"/>
          <w:b/>
          <w:bCs/>
          <w:sz w:val="24"/>
          <w:szCs w:val="24"/>
          <w:rtl/>
        </w:rPr>
        <w:t>توثيق حدود الأدوات:</w:t>
      </w:r>
      <w:r>
        <w:rPr>
          <w:rFonts w:ascii="Arial" w:hAnsi="Arial" w:eastAsia="Arial" w:cs="Arial"/>
          <w:sz w:val="24"/>
          <w:szCs w:val="24"/>
          <w:rtl/>
        </w:rPr>
        <w:t xml:space="preserve"> تعذّر على GPT-6 Astra جلب GTEx وOMIM وVarCards2 (0 من 14؛ فاصل Wilson من 0 إلى 21.5%)، ووُثّق ذلك كقيد في بيئة التنفيذ لا كنتيجة بيولوجية، وهو تمييز بين «لم أجد» و«لا يوجد».</w:t>
      </w:r>
    </w:p>
    <w:p w14:paraId="651A32FC">
      <w:pPr>
        <w:pStyle w:val="16"/>
        <w:numPr>
          <w:ilvl w:val="0"/>
          <w:numId w:val="2"/>
        </w:numPr>
        <w:bidi/>
        <w:spacing w:after="90" w:line="330" w:lineRule="auto"/>
      </w:pPr>
      <w:r>
        <w:rPr>
          <w:rFonts w:ascii="Arial" w:hAnsi="Arial" w:eastAsia="Arial" w:cs="Arial"/>
          <w:b/>
          <w:bCs/>
          <w:sz w:val="24"/>
          <w:szCs w:val="24"/>
          <w:rtl/>
        </w:rPr>
        <w:t>عدم ثبات النسخ:</w:t>
      </w:r>
      <w:r>
        <w:rPr>
          <w:rFonts w:ascii="Arial" w:hAnsi="Arial" w:eastAsia="Arial" w:cs="Arial"/>
          <w:sz w:val="24"/>
          <w:szCs w:val="24"/>
          <w:rtl/>
        </w:rPr>
        <w:t xml:space="preserve"> تغيّرت مخرجات Claude بين نسختين (14 مقابل 18 مقابل 15 في المجموعة M)، فلا بد من تثبيت النسخة مع كل نتيجة.</w:t>
      </w:r>
    </w:p>
    <w:p w14:paraId="45AAE965">
      <w:pPr>
        <w:pStyle w:val="16"/>
        <w:numPr>
          <w:ilvl w:val="0"/>
          <w:numId w:val="2"/>
        </w:numPr>
        <w:bidi/>
        <w:spacing w:after="90" w:line="330" w:lineRule="auto"/>
      </w:pPr>
      <w:r>
        <w:rPr>
          <w:rFonts w:ascii="Arial" w:hAnsi="Arial" w:eastAsia="Arial" w:cs="Arial"/>
          <w:b/>
          <w:bCs/>
          <w:sz w:val="24"/>
          <w:szCs w:val="24"/>
          <w:rtl/>
        </w:rPr>
        <w:t>بروتوكول من ست خطوات</w:t>
      </w:r>
      <w:r>
        <w:rPr>
          <w:rFonts w:ascii="Arial" w:hAnsi="Arial" w:eastAsia="Arial" w:cs="Arial"/>
          <w:sz w:val="24"/>
          <w:szCs w:val="24"/>
          <w:rtl/>
        </w:rPr>
        <w:t xml:space="preserve"> مقترح لمقارنة أدوات الذكاء الاصطناعي في الجينوم: قائمة مرشحين موحدة، وقرار صريح لكل أداة، وإصدارات وبصمات، وبيئات مستقلة، ومعيار مرجعي مستقل، وأوزان معلنة مسبقاً.</w:t>
      </w:r>
    </w:p>
    <w:p w14:paraId="3FEF0236">
      <w:pPr>
        <w:bidi/>
        <w:spacing w:after="140" w:line="340" w:lineRule="auto"/>
        <w:jc w:val="left"/>
      </w:pPr>
      <w:r>
        <w:rPr>
          <w:rFonts w:ascii="Arial" w:hAnsi="Arial" w:eastAsia="Arial" w:cs="Arial"/>
          <w:sz w:val="24"/>
          <w:szCs w:val="24"/>
          <w:rtl/>
        </w:rPr>
        <w:t>والخلاصة أن أدوات الذكاء الاصطناعي مفيدة للتحقق المتقاطع إذا رُوجعت مخرجاتها من مصادرها الأولية، ولا تصلح مصدراً للحقيقة.</w:t>
      </w:r>
    </w:p>
    <w:p w14:paraId="613BB32B">
      <w:pPr>
        <w:pStyle w:val="3"/>
        <w:keepNext/>
        <w:bidi/>
        <w:spacing w:before="280" w:after="120"/>
        <w:rPr>
          <w:highlight w:val="green"/>
        </w:rPr>
      </w:pPr>
      <w:r>
        <w:rPr>
          <w:rFonts w:ascii="Arial" w:hAnsi="Arial" w:eastAsia="Arial" w:cs="Arial"/>
          <w:b/>
          <w:bCs/>
          <w:sz w:val="28"/>
          <w:szCs w:val="28"/>
          <w:rtl/>
        </w:rPr>
        <w:t>10</w:t>
      </w:r>
      <w:r>
        <w:rPr>
          <w:rFonts w:ascii="Arial" w:hAnsi="Arial" w:eastAsia="Arial" w:cs="Arial"/>
          <w:b/>
          <w:bCs/>
          <w:sz w:val="28"/>
          <w:szCs w:val="28"/>
          <w:highlight w:val="green"/>
          <w:rtl/>
        </w:rPr>
        <w:t>. الموقع الإلكتروني وقاعدة الأدلة</w:t>
      </w:r>
    </w:p>
    <w:p w14:paraId="4AD0430B">
      <w:pPr>
        <w:bidi/>
        <w:spacing w:after="140" w:line="340" w:lineRule="auto"/>
        <w:jc w:val="left"/>
      </w:pPr>
      <w:r>
        <w:rPr>
          <w:rFonts w:ascii="Arial" w:hAnsi="Arial" w:eastAsia="Arial" w:cs="Arial"/>
          <w:b/>
          <w:bCs/>
          <w:sz w:val="24"/>
          <w:szCs w:val="24"/>
          <w:rtl/>
        </w:rPr>
        <w:t>النموذج الأولي.</w:t>
      </w:r>
      <w:r>
        <w:rPr>
          <w:rFonts w:ascii="Arial" w:hAnsi="Arial" w:eastAsia="Arial" w:cs="Arial"/>
          <w:sz w:val="24"/>
          <w:szCs w:val="24"/>
          <w:rtl/>
        </w:rPr>
        <w:t xml:space="preserve"> موقع ثنائي اللغة (عربي وإنجليزي) بنسخة ثابتة تعمل دون خادم ودون اتصال بالإنترنت، من ستة أقسام: خريطة الكروموسومات، وبطاقات الجينات، و«مختبر الاختيار» الذي يعيد تطبيق القاعدة حين يغيّر المستخدم العتبات، ومساحة التحليل الإحصائي، ومعرض الصور البنيوية، وروابط قواعد البيانات. ويضم محركاً بجافاسكربت يعيد حساب Cochran’s Q وMcNemar وHolm وBonferroni وWilson وJaccard وBootstrap داخل المتصفح، وقد تطابقت قيمه مع حسابات Python. وهذا يحوّل القاعدة من أرشيف إلى «مختبر اختيار» تُفحص ادعاءاته من القارئ نفسه.</w:t>
      </w:r>
    </w:p>
    <w:p w14:paraId="535010AD">
      <w:pPr>
        <w:bidi/>
        <w:spacing w:after="140" w:line="340" w:lineRule="auto"/>
        <w:jc w:val="left"/>
      </w:pPr>
      <w:r>
        <w:rPr>
          <w:rFonts w:ascii="Arial" w:hAnsi="Arial" w:eastAsia="Arial" w:cs="Arial"/>
          <w:b/>
          <w:bCs/>
          <w:sz w:val="24"/>
          <w:szCs w:val="24"/>
          <w:rtl/>
        </w:rPr>
        <w:t>فكرة القاعدة متعددة الطبقات والمسارات.</w:t>
      </w:r>
      <w:r>
        <w:rPr>
          <w:rFonts w:ascii="Arial" w:hAnsi="Arial" w:eastAsia="Arial" w:cs="Arial"/>
          <w:sz w:val="24"/>
          <w:szCs w:val="24"/>
          <w:rtl/>
        </w:rPr>
        <w:t xml:space="preserve"> القاعدة ليست «قائمة جينات»، بل مصفوفة أدلة على مستوى المتغير، من طبقات مستقلة المصدر:</w:t>
      </w:r>
    </w:p>
    <w:p w14:paraId="017FD4B7">
      <w:pPr>
        <w:pStyle w:val="16"/>
        <w:numPr>
          <w:ilvl w:val="0"/>
          <w:numId w:val="2"/>
        </w:numPr>
        <w:bidi/>
        <w:spacing w:after="90" w:line="330" w:lineRule="auto"/>
      </w:pPr>
      <w:r>
        <w:rPr>
          <w:rFonts w:ascii="Arial" w:hAnsi="Arial" w:eastAsia="Arial" w:cs="Arial"/>
          <w:b/>
          <w:bCs/>
          <w:sz w:val="24"/>
          <w:szCs w:val="24"/>
          <w:rtl/>
        </w:rPr>
        <w:t>الطبقة الجينومية:</w:t>
      </w:r>
      <w:r>
        <w:rPr>
          <w:rFonts w:ascii="Arial" w:hAnsi="Arial" w:eastAsia="Arial" w:cs="Arial"/>
          <w:sz w:val="24"/>
          <w:szCs w:val="24"/>
          <w:rtl/>
        </w:rPr>
        <w:t xml:space="preserve"> ClinVar على مستوى التقييم المرسل، وCADD، وgnomAD، و1000 Genomes: هل المتغير نادر؟ ما درجة ضرره؟ لأي مرض سُجِّل؟</w:t>
      </w:r>
    </w:p>
    <w:p w14:paraId="7AE1DB13">
      <w:pPr>
        <w:pStyle w:val="16"/>
        <w:numPr>
          <w:ilvl w:val="0"/>
          <w:numId w:val="2"/>
        </w:numPr>
        <w:bidi/>
        <w:spacing w:after="90" w:line="330" w:lineRule="auto"/>
      </w:pPr>
      <w:r>
        <w:rPr>
          <w:rFonts w:ascii="Arial" w:hAnsi="Arial" w:eastAsia="Arial" w:cs="Arial"/>
          <w:b/>
          <w:bCs/>
          <w:sz w:val="24"/>
          <w:szCs w:val="24"/>
          <w:rtl/>
        </w:rPr>
        <w:t>طبقة التعبير النسيجي:</w:t>
      </w:r>
      <w:r>
        <w:rPr>
          <w:rFonts w:ascii="Arial" w:hAnsi="Arial" w:eastAsia="Arial" w:cs="Arial"/>
          <w:sz w:val="24"/>
          <w:szCs w:val="24"/>
          <w:rtl/>
        </w:rPr>
        <w:t xml:space="preserve"> GTEx وHPA: هل يعبّر الجين في الخصية؟</w:t>
      </w:r>
    </w:p>
    <w:p w14:paraId="0D478EA5">
      <w:pPr>
        <w:pStyle w:val="16"/>
        <w:numPr>
          <w:ilvl w:val="0"/>
          <w:numId w:val="2"/>
        </w:numPr>
        <w:bidi/>
        <w:spacing w:after="90" w:line="330" w:lineRule="auto"/>
      </w:pPr>
      <w:r>
        <w:rPr>
          <w:rFonts w:ascii="Arial" w:hAnsi="Arial" w:eastAsia="Arial" w:cs="Arial"/>
          <w:b/>
          <w:bCs/>
          <w:sz w:val="24"/>
          <w:szCs w:val="24"/>
          <w:rtl/>
        </w:rPr>
        <w:t>الطبقة الوظيفية:</w:t>
      </w:r>
      <w:r>
        <w:rPr>
          <w:rFonts w:ascii="Arial" w:hAnsi="Arial" w:eastAsia="Arial" w:cs="Arial"/>
          <w:sz w:val="24"/>
          <w:szCs w:val="24"/>
          <w:rtl/>
        </w:rPr>
        <w:t xml:space="preserve"> SpliceAI وREVEL وAlphaMissense وLOFTEE وNMD: هل يؤثر في الوصل أو البروتين؟</w:t>
      </w:r>
    </w:p>
    <w:p w14:paraId="49476467">
      <w:pPr>
        <w:pStyle w:val="16"/>
        <w:numPr>
          <w:ilvl w:val="0"/>
          <w:numId w:val="2"/>
        </w:numPr>
        <w:bidi/>
        <w:spacing w:after="90" w:line="330" w:lineRule="auto"/>
      </w:pPr>
      <w:r>
        <w:rPr>
          <w:rFonts w:ascii="Arial" w:hAnsi="Arial" w:eastAsia="Arial" w:cs="Arial"/>
          <w:b/>
          <w:bCs/>
          <w:sz w:val="24"/>
          <w:szCs w:val="24"/>
          <w:rtl/>
        </w:rPr>
        <w:t>الطبقة البنيوية:</w:t>
      </w:r>
      <w:r>
        <w:rPr>
          <w:rFonts w:ascii="Arial" w:hAnsi="Arial" w:eastAsia="Arial" w:cs="Arial"/>
          <w:sz w:val="24"/>
          <w:szCs w:val="24"/>
          <w:rtl/>
        </w:rPr>
        <w:t xml:space="preserve"> AlphaFold وpLDDT وChimeraX وPyMOL وOMIM: أين يقع الاستبدال وهل يتوافق مع النمط الظاهري ونمط الوراثة؟</w:t>
      </w:r>
    </w:p>
    <w:p w14:paraId="5FA638FA">
      <w:pPr>
        <w:bidi/>
        <w:spacing w:after="140" w:line="340" w:lineRule="auto"/>
        <w:jc w:val="left"/>
      </w:pPr>
      <w:r>
        <w:rPr>
          <w:rFonts w:ascii="Arial" w:hAnsi="Arial" w:eastAsia="Arial" w:cs="Arial"/>
          <w:b/>
          <w:bCs/>
          <w:sz w:val="24"/>
          <w:szCs w:val="24"/>
          <w:rtl/>
        </w:rPr>
        <w:t>لماذا ليست قاعدة عشوائية:</w:t>
      </w:r>
      <w:r>
        <w:rPr>
          <w:rFonts w:ascii="Arial" w:hAnsi="Arial" w:eastAsia="Arial" w:cs="Arial"/>
          <w:sz w:val="24"/>
          <w:szCs w:val="24"/>
          <w:rtl/>
        </w:rPr>
        <w:t xml:space="preserve"> الجين لا يدخل إلا بدليل متوسط أو أعلى وفق ClinGen؛ والمتغير لا يدخل إلا إذا كان ممرضاً أو محتمل الإمراضية بتقييم مُرسَل يربطه بالنمط العقمي؛ والطبقات مأخوذة من ملفات خام لا ملخصات؛ والقاعدة قابلة للتحديث مع كل إصدار من ClinVar. وهي تُوصف بأنها «مبنية على الدليل، قابلة للمراجعة والتحديث»، لا «مثبتة نهائياً»، فلا توجد قاعدة بيانات في العالم مثبتة بنسبة 100% أن متغيراتها تسبب العقم، والمشروع نفسه أثبت ذلك بأرقامه.</w:t>
      </w:r>
    </w:p>
    <w:p w14:paraId="06F26B0A">
      <w:pPr>
        <w:bidi/>
        <w:spacing w:after="140" w:line="340" w:lineRule="auto"/>
        <w:jc w:val="left"/>
      </w:pPr>
      <w:r>
        <w:rPr>
          <w:rFonts w:ascii="Arial" w:hAnsi="Arial" w:eastAsia="Arial" w:cs="Arial"/>
          <w:b/>
          <w:bCs/>
          <w:sz w:val="24"/>
          <w:szCs w:val="24"/>
          <w:rtl/>
        </w:rPr>
        <w:t>المقارنة بالقواعد القائمة.</w:t>
      </w:r>
      <w:r>
        <w:rPr>
          <w:rFonts w:ascii="Arial" w:hAnsi="Arial" w:eastAsia="Arial" w:cs="Arial"/>
          <w:sz w:val="24"/>
          <w:szCs w:val="24"/>
          <w:rtl/>
        </w:rPr>
        <w:t xml:space="preserve"> توجد قواعد منشورة للعقم الذكري، ومنها Male Fertility Gene Atlas وMale Infertility Knowledgebase وIDDB وFertilityOnline وSpermatogenesisOnline، وبعضها يدمج بيانات التعبير في الأنسجة وخلايا الخصية وإحصاءات المتغيرات. ولذلك فإضافة طبقات التعبير ليست هي الجديد. أما المساحة التي لم أجد، بحسب اطلاعي، من شغلها فهي قاعدة تفسيرية للمتغير الواحد، متخصصة بالعقم الذكري، تطابق المرض على مستوى التقييم المرسل، وتتبّع كل قيمة إلى مصدرها وإلى أكثر من مسار تنفيذ، وتتيح إعادة تطبيق القاعدة بعتبات المستخدم. والنموذج الحالي يقتصر على نتائج هذه الدراسة (16 جيناً)، ويُراد توسيعه لاحقاً.</w:t>
      </w:r>
    </w:p>
    <w:p w14:paraId="2291E53C">
      <w:pPr>
        <w:pStyle w:val="3"/>
        <w:keepNext/>
        <w:bidi/>
        <w:spacing w:before="280" w:after="120"/>
      </w:pPr>
      <w:r>
        <w:rPr>
          <w:rFonts w:ascii="Arial" w:hAnsi="Arial" w:eastAsia="Arial" w:cs="Arial"/>
          <w:b/>
          <w:bCs/>
          <w:sz w:val="28"/>
          <w:szCs w:val="28"/>
          <w:rtl/>
        </w:rPr>
        <w:t>11. نتيجة التحقق من ادعاءات «الأولى»</w:t>
      </w:r>
    </w:p>
    <w:tbl>
      <w:tblPr>
        <w:tblStyle w:val="9"/>
        <w:bidiVisual/>
        <w:tblW w:w="9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900"/>
        <w:gridCol w:w="2406"/>
      </w:tblGrid>
      <w:tr w14:paraId="6BA6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BBBBBB" w:sz="4" w:space="0"/>
              <w:left w:val="single" w:color="BBBBBB" w:sz="4" w:space="0"/>
              <w:bottom w:val="single" w:color="BBBBBB" w:sz="4" w:space="0"/>
              <w:right w:val="single" w:color="BBBBBB" w:sz="4" w:space="0"/>
            </w:tcBorders>
            <w:shd w:val="clear" w:color="auto" w:fill="D9E6F2"/>
            <w:tcMar>
              <w:top w:w="70" w:type="dxa"/>
              <w:left w:w="100" w:type="dxa"/>
              <w:bottom w:w="70" w:type="dxa"/>
              <w:right w:w="100" w:type="dxa"/>
            </w:tcMar>
          </w:tcPr>
          <w:p w14:paraId="6BED56AA">
            <w:pPr>
              <w:bidi/>
            </w:pPr>
            <w:r>
              <w:rPr>
                <w:rFonts w:ascii="Arial" w:hAnsi="Arial" w:eastAsia="Arial" w:cs="Arial"/>
                <w:b/>
                <w:bCs/>
                <w:sz w:val="21"/>
                <w:szCs w:val="21"/>
                <w:rtl/>
              </w:rPr>
              <w:t>الادعاء</w:t>
            </w:r>
          </w:p>
        </w:tc>
        <w:tc>
          <w:tcPr>
            <w:tcW w:w="3900" w:type="dxa"/>
            <w:tcBorders>
              <w:top w:val="single" w:color="BBBBBB" w:sz="4" w:space="0"/>
              <w:left w:val="single" w:color="BBBBBB" w:sz="4" w:space="0"/>
              <w:bottom w:val="single" w:color="BBBBBB" w:sz="4" w:space="0"/>
              <w:right w:val="single" w:color="BBBBBB" w:sz="4" w:space="0"/>
            </w:tcBorders>
            <w:shd w:val="clear" w:color="auto" w:fill="D9E6F2"/>
            <w:tcMar>
              <w:top w:w="70" w:type="dxa"/>
              <w:left w:w="100" w:type="dxa"/>
              <w:bottom w:w="70" w:type="dxa"/>
              <w:right w:w="100" w:type="dxa"/>
            </w:tcMar>
          </w:tcPr>
          <w:p w14:paraId="5274A2C0">
            <w:pPr>
              <w:bidi/>
            </w:pPr>
            <w:r>
              <w:rPr>
                <w:rFonts w:ascii="Arial" w:hAnsi="Arial" w:eastAsia="Arial" w:cs="Arial"/>
                <w:b/>
                <w:bCs/>
                <w:sz w:val="21"/>
                <w:szCs w:val="21"/>
                <w:rtl/>
              </w:rPr>
              <w:t>الحكم</w:t>
            </w:r>
          </w:p>
        </w:tc>
        <w:tc>
          <w:tcPr>
            <w:tcW w:w="2406" w:type="dxa"/>
            <w:tcBorders>
              <w:top w:val="single" w:color="BBBBBB" w:sz="4" w:space="0"/>
              <w:left w:val="single" w:color="BBBBBB" w:sz="4" w:space="0"/>
              <w:bottom w:val="single" w:color="BBBBBB" w:sz="4" w:space="0"/>
              <w:right w:val="single" w:color="BBBBBB" w:sz="4" w:space="0"/>
            </w:tcBorders>
            <w:shd w:val="clear" w:color="auto" w:fill="D9E6F2"/>
            <w:tcMar>
              <w:top w:w="70" w:type="dxa"/>
              <w:left w:w="100" w:type="dxa"/>
              <w:bottom w:w="70" w:type="dxa"/>
              <w:right w:w="100" w:type="dxa"/>
            </w:tcMar>
          </w:tcPr>
          <w:p w14:paraId="2228117D">
            <w:pPr>
              <w:bidi/>
            </w:pPr>
            <w:r>
              <w:rPr>
                <w:rFonts w:ascii="Arial" w:hAnsi="Arial" w:eastAsia="Arial" w:cs="Arial"/>
                <w:b/>
                <w:bCs/>
                <w:sz w:val="21"/>
                <w:szCs w:val="21"/>
                <w:rtl/>
              </w:rPr>
              <w:t>الصياغة الآمنة</w:t>
            </w:r>
          </w:p>
        </w:tc>
      </w:tr>
      <w:tr w14:paraId="098D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BBBBB" w:sz="4" w:space="0"/>
              <w:left w:val="single" w:color="BBBBBB" w:sz="4" w:space="0"/>
              <w:bottom w:val="single" w:color="BBBBBB" w:sz="4" w:space="0"/>
              <w:right w:val="single" w:color="BBBBBB" w:sz="4" w:space="0"/>
            </w:tcBorders>
            <w:tcMar>
              <w:top w:w="70" w:type="dxa"/>
              <w:left w:w="100" w:type="dxa"/>
              <w:bottom w:w="70" w:type="dxa"/>
              <w:right w:w="100" w:type="dxa"/>
            </w:tcMar>
          </w:tcPr>
          <w:p w14:paraId="47785A1A">
            <w:pPr>
              <w:bidi/>
            </w:pPr>
            <w:r>
              <w:rPr>
                <w:rFonts w:ascii="Arial" w:hAnsi="Arial" w:eastAsia="Arial" w:cs="Arial"/>
                <w:b w:val="0"/>
                <w:bCs w:val="0"/>
                <w:sz w:val="21"/>
                <w:szCs w:val="21"/>
                <w:rtl/>
              </w:rPr>
              <w:t>أول من يجمع ثلاثة مسارات ويقارن بينها</w:t>
            </w:r>
          </w:p>
        </w:tc>
        <w:tc>
          <w:tcPr>
            <w:tcW w:w="3900" w:type="dxa"/>
            <w:tcBorders>
              <w:top w:val="single" w:color="BBBBBB" w:sz="4" w:space="0"/>
              <w:left w:val="single" w:color="BBBBBB" w:sz="4" w:space="0"/>
              <w:bottom w:val="single" w:color="BBBBBB" w:sz="4" w:space="0"/>
              <w:right w:val="single" w:color="BBBBBB" w:sz="4" w:space="0"/>
            </w:tcBorders>
            <w:tcMar>
              <w:top w:w="70" w:type="dxa"/>
              <w:left w:w="100" w:type="dxa"/>
              <w:bottom w:w="70" w:type="dxa"/>
              <w:right w:w="100" w:type="dxa"/>
            </w:tcMar>
          </w:tcPr>
          <w:p w14:paraId="3E1314E7">
            <w:pPr>
              <w:bidi/>
            </w:pPr>
            <w:r>
              <w:rPr>
                <w:rFonts w:ascii="Arial" w:hAnsi="Arial" w:eastAsia="Arial" w:cs="Arial"/>
                <w:b w:val="0"/>
                <w:bCs w:val="0"/>
                <w:sz w:val="21"/>
                <w:szCs w:val="21"/>
                <w:rtl/>
              </w:rPr>
              <w:t>غير مؤكد: توجد مقارنات بين Galaxy والبرمجة، ومعايير لتقييم وكلاء الذكاء الاصطناعي على خطوط التحليل، ولم أجد دراسة نفّذت الخطة نفسها بالمسارات الثلاثة في العقم الذكري مع تطابق قيمي</w:t>
            </w:r>
          </w:p>
        </w:tc>
        <w:tc>
          <w:tcPr>
            <w:tcW w:w="2406" w:type="dxa"/>
            <w:tcBorders>
              <w:top w:val="single" w:color="BBBBBB" w:sz="4" w:space="0"/>
              <w:left w:val="single" w:color="BBBBBB" w:sz="4" w:space="0"/>
              <w:bottom w:val="single" w:color="BBBBBB" w:sz="4" w:space="0"/>
              <w:right w:val="single" w:color="BBBBBB" w:sz="4" w:space="0"/>
            </w:tcBorders>
            <w:tcMar>
              <w:top w:w="70" w:type="dxa"/>
              <w:left w:w="100" w:type="dxa"/>
              <w:bottom w:w="70" w:type="dxa"/>
              <w:right w:w="100" w:type="dxa"/>
            </w:tcMar>
          </w:tcPr>
          <w:p w14:paraId="20C6E0E7">
            <w:pPr>
              <w:bidi/>
            </w:pPr>
            <w:r>
              <w:rPr>
                <w:rFonts w:ascii="Arial" w:hAnsi="Arial" w:eastAsia="Arial" w:cs="Arial"/>
                <w:b w:val="0"/>
                <w:bCs w:val="0"/>
                <w:sz w:val="21"/>
                <w:szCs w:val="21"/>
                <w:rtl/>
              </w:rPr>
              <w:t>«حسب علمنا، لم نجد دراسة…»</w:t>
            </w:r>
          </w:p>
        </w:tc>
      </w:tr>
      <w:tr w14:paraId="391E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BBBBB" w:sz="4" w:space="0"/>
              <w:left w:val="single" w:color="BBBBBB" w:sz="4" w:space="0"/>
              <w:bottom w:val="single" w:color="BBBBBB" w:sz="4" w:space="0"/>
              <w:right w:val="single" w:color="BBBBBB" w:sz="4" w:space="0"/>
            </w:tcBorders>
            <w:tcMar>
              <w:top w:w="70" w:type="dxa"/>
              <w:left w:w="100" w:type="dxa"/>
              <w:bottom w:w="70" w:type="dxa"/>
              <w:right w:w="100" w:type="dxa"/>
            </w:tcMar>
          </w:tcPr>
          <w:p w14:paraId="3B0763CD">
            <w:pPr>
              <w:bidi/>
            </w:pPr>
            <w:r>
              <w:rPr>
                <w:rFonts w:ascii="Arial" w:hAnsi="Arial" w:eastAsia="Arial" w:cs="Arial"/>
                <w:b w:val="0"/>
                <w:bCs w:val="0"/>
                <w:sz w:val="21"/>
                <w:szCs w:val="21"/>
                <w:rtl/>
              </w:rPr>
              <w:t>أول تصميم لموقع وقاعدة بيانات للعقم الذكري، ولا توجد قاعدة كهذه</w:t>
            </w:r>
          </w:p>
        </w:tc>
        <w:tc>
          <w:tcPr>
            <w:tcW w:w="3900" w:type="dxa"/>
            <w:tcBorders>
              <w:top w:val="single" w:color="BBBBBB" w:sz="4" w:space="0"/>
              <w:left w:val="single" w:color="BBBBBB" w:sz="4" w:space="0"/>
              <w:bottom w:val="single" w:color="BBBBBB" w:sz="4" w:space="0"/>
              <w:right w:val="single" w:color="BBBBBB" w:sz="4" w:space="0"/>
            </w:tcBorders>
            <w:tcMar>
              <w:top w:w="70" w:type="dxa"/>
              <w:left w:w="100" w:type="dxa"/>
              <w:bottom w:w="70" w:type="dxa"/>
              <w:right w:w="100" w:type="dxa"/>
            </w:tcMar>
          </w:tcPr>
          <w:p w14:paraId="554DABE8">
            <w:pPr>
              <w:bidi/>
            </w:pPr>
            <w:r>
              <w:rPr>
                <w:rFonts w:ascii="Arial" w:hAnsi="Arial" w:eastAsia="Arial" w:cs="Arial"/>
                <w:b w:val="0"/>
                <w:bCs w:val="0"/>
                <w:sz w:val="21"/>
                <w:szCs w:val="21"/>
                <w:rtl/>
              </w:rPr>
              <w:t>خاطئ: توجد مواقع وقواعد عدة</w:t>
            </w:r>
          </w:p>
        </w:tc>
        <w:tc>
          <w:tcPr>
            <w:tcW w:w="2406" w:type="dxa"/>
            <w:tcBorders>
              <w:top w:val="single" w:color="BBBBBB" w:sz="4" w:space="0"/>
              <w:left w:val="single" w:color="BBBBBB" w:sz="4" w:space="0"/>
              <w:bottom w:val="single" w:color="BBBBBB" w:sz="4" w:space="0"/>
              <w:right w:val="single" w:color="BBBBBB" w:sz="4" w:space="0"/>
            </w:tcBorders>
            <w:tcMar>
              <w:top w:w="70" w:type="dxa"/>
              <w:left w:w="100" w:type="dxa"/>
              <w:bottom w:w="70" w:type="dxa"/>
              <w:right w:w="100" w:type="dxa"/>
            </w:tcMar>
          </w:tcPr>
          <w:p w14:paraId="68AD1E14">
            <w:pPr>
              <w:bidi/>
            </w:pPr>
            <w:r>
              <w:rPr>
                <w:rFonts w:ascii="Arial" w:hAnsi="Arial" w:eastAsia="Arial" w:cs="Arial"/>
                <w:b w:val="0"/>
                <w:bCs w:val="0"/>
                <w:sz w:val="21"/>
                <w:szCs w:val="21"/>
                <w:rtl/>
              </w:rPr>
              <w:t>أول نموذج على مستوى (جين – متغير – مرض مسجَّل)</w:t>
            </w:r>
          </w:p>
        </w:tc>
      </w:tr>
      <w:tr w14:paraId="593FD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BBBBB" w:sz="4" w:space="0"/>
              <w:left w:val="single" w:color="BBBBBB" w:sz="4" w:space="0"/>
              <w:bottom w:val="single" w:color="BBBBBB" w:sz="4" w:space="0"/>
              <w:right w:val="single" w:color="BBBBBB" w:sz="4" w:space="0"/>
            </w:tcBorders>
            <w:tcMar>
              <w:top w:w="70" w:type="dxa"/>
              <w:left w:w="100" w:type="dxa"/>
              <w:bottom w:w="70" w:type="dxa"/>
              <w:right w:w="100" w:type="dxa"/>
            </w:tcMar>
          </w:tcPr>
          <w:p w14:paraId="683574B9">
            <w:pPr>
              <w:bidi/>
            </w:pPr>
            <w:r>
              <w:rPr>
                <w:rFonts w:ascii="Arial" w:hAnsi="Arial" w:eastAsia="Arial" w:cs="Arial"/>
                <w:b w:val="0"/>
                <w:bCs w:val="0"/>
                <w:sz w:val="21"/>
                <w:szCs w:val="21"/>
                <w:rtl/>
              </w:rPr>
              <w:t>أول من يدرس المتغيرات الصغيرة وخاصة missense بالمعلوماتية الحيوية</w:t>
            </w:r>
          </w:p>
        </w:tc>
        <w:tc>
          <w:tcPr>
            <w:tcW w:w="3900" w:type="dxa"/>
            <w:tcBorders>
              <w:top w:val="single" w:color="BBBBBB" w:sz="4" w:space="0"/>
              <w:left w:val="single" w:color="BBBBBB" w:sz="4" w:space="0"/>
              <w:bottom w:val="single" w:color="BBBBBB" w:sz="4" w:space="0"/>
              <w:right w:val="single" w:color="BBBBBB" w:sz="4" w:space="0"/>
            </w:tcBorders>
            <w:tcMar>
              <w:top w:w="70" w:type="dxa"/>
              <w:left w:w="100" w:type="dxa"/>
              <w:bottom w:w="70" w:type="dxa"/>
              <w:right w:w="100" w:type="dxa"/>
            </w:tcMar>
          </w:tcPr>
          <w:p w14:paraId="5AE8BD37">
            <w:pPr>
              <w:bidi/>
            </w:pPr>
            <w:r>
              <w:rPr>
                <w:rFonts w:ascii="Arial" w:hAnsi="Arial" w:eastAsia="Arial" w:cs="Arial"/>
                <w:b w:val="0"/>
                <w:bCs w:val="0"/>
                <w:sz w:val="21"/>
                <w:szCs w:val="21"/>
                <w:rtl/>
              </w:rPr>
              <w:t>خاطئ: توجد دراسات in silico لمتغيرات missense في جينات العقم الذكري (مثل DAZL وBEND2 وDMC1)</w:t>
            </w:r>
          </w:p>
        </w:tc>
        <w:tc>
          <w:tcPr>
            <w:tcW w:w="2406" w:type="dxa"/>
            <w:tcBorders>
              <w:top w:val="single" w:color="BBBBBB" w:sz="4" w:space="0"/>
              <w:left w:val="single" w:color="BBBBBB" w:sz="4" w:space="0"/>
              <w:bottom w:val="single" w:color="BBBBBB" w:sz="4" w:space="0"/>
              <w:right w:val="single" w:color="BBBBBB" w:sz="4" w:space="0"/>
            </w:tcBorders>
            <w:tcMar>
              <w:top w:w="70" w:type="dxa"/>
              <w:left w:w="100" w:type="dxa"/>
              <w:bottom w:w="70" w:type="dxa"/>
              <w:right w:w="100" w:type="dxa"/>
            </w:tcMar>
          </w:tcPr>
          <w:p w14:paraId="563F5D22">
            <w:pPr>
              <w:bidi/>
            </w:pPr>
            <w:r>
              <w:rPr>
                <w:rFonts w:ascii="Arial" w:hAnsi="Arial" w:eastAsia="Arial" w:cs="Arial"/>
                <w:b w:val="0"/>
                <w:bCs w:val="0"/>
                <w:sz w:val="21"/>
                <w:szCs w:val="21"/>
                <w:rtl/>
              </w:rPr>
              <w:t>دراسة missense على مستوى مجموعة جينات بقاعدتين ومطابقة للمرض</w:t>
            </w:r>
          </w:p>
        </w:tc>
      </w:tr>
      <w:tr w14:paraId="2ECB9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BBBBB" w:sz="4" w:space="0"/>
              <w:left w:val="single" w:color="BBBBBB" w:sz="4" w:space="0"/>
              <w:bottom w:val="single" w:color="BBBBBB" w:sz="4" w:space="0"/>
              <w:right w:val="single" w:color="BBBBBB" w:sz="4" w:space="0"/>
            </w:tcBorders>
            <w:tcMar>
              <w:top w:w="70" w:type="dxa"/>
              <w:left w:w="100" w:type="dxa"/>
              <w:bottom w:w="70" w:type="dxa"/>
              <w:right w:w="100" w:type="dxa"/>
            </w:tcMar>
          </w:tcPr>
          <w:p w14:paraId="2672315D">
            <w:pPr>
              <w:bidi/>
            </w:pPr>
            <w:r>
              <w:rPr>
                <w:rFonts w:ascii="Arial" w:hAnsi="Arial" w:eastAsia="Arial" w:cs="Arial"/>
                <w:b w:val="0"/>
                <w:bCs w:val="0"/>
                <w:sz w:val="21"/>
                <w:szCs w:val="21"/>
                <w:rtl/>
              </w:rPr>
              <w:t>أول تحليل إحصائي يقارن الذكاء الاصطناعي بالبرمجة والمعلوماتية الحيوية</w:t>
            </w:r>
          </w:p>
        </w:tc>
        <w:tc>
          <w:tcPr>
            <w:tcW w:w="3900" w:type="dxa"/>
            <w:tcBorders>
              <w:top w:val="single" w:color="BBBBBB" w:sz="4" w:space="0"/>
              <w:left w:val="single" w:color="BBBBBB" w:sz="4" w:space="0"/>
              <w:bottom w:val="single" w:color="BBBBBB" w:sz="4" w:space="0"/>
              <w:right w:val="single" w:color="BBBBBB" w:sz="4" w:space="0"/>
            </w:tcBorders>
            <w:tcMar>
              <w:top w:w="70" w:type="dxa"/>
              <w:left w:w="100" w:type="dxa"/>
              <w:bottom w:w="70" w:type="dxa"/>
              <w:right w:w="100" w:type="dxa"/>
            </w:tcMar>
          </w:tcPr>
          <w:p w14:paraId="19DB6D8E">
            <w:pPr>
              <w:bidi/>
            </w:pPr>
            <w:r>
              <w:rPr>
                <w:rFonts w:ascii="Arial" w:hAnsi="Arial" w:eastAsia="Arial" w:cs="Arial"/>
                <w:b w:val="0"/>
                <w:bCs w:val="0"/>
                <w:sz w:val="21"/>
                <w:szCs w:val="21"/>
                <w:rtl/>
              </w:rPr>
              <w:t>غير مؤكد: توجد معايير مثل BixBench وGeneTuring وClawBench وأطر مثل AI-CURA لتصنيف المتغيرات؛ ولم أجد تصميماً مماثلاً باختبارات مقترنة وتصحيح Holm في خطة ترشيح لمرض نادر محدد</w:t>
            </w:r>
          </w:p>
        </w:tc>
        <w:tc>
          <w:tcPr>
            <w:tcW w:w="2406" w:type="dxa"/>
            <w:tcBorders>
              <w:top w:val="single" w:color="BBBBBB" w:sz="4" w:space="0"/>
              <w:left w:val="single" w:color="BBBBBB" w:sz="4" w:space="0"/>
              <w:bottom w:val="single" w:color="BBBBBB" w:sz="4" w:space="0"/>
              <w:right w:val="single" w:color="BBBBBB" w:sz="4" w:space="0"/>
            </w:tcBorders>
            <w:tcMar>
              <w:top w:w="70" w:type="dxa"/>
              <w:left w:w="100" w:type="dxa"/>
              <w:bottom w:w="70" w:type="dxa"/>
              <w:right w:w="100" w:type="dxa"/>
            </w:tcMar>
          </w:tcPr>
          <w:p w14:paraId="607C0FBC">
            <w:pPr>
              <w:bidi/>
            </w:pPr>
            <w:r>
              <w:rPr>
                <w:rFonts w:ascii="Arial" w:hAnsi="Arial" w:eastAsia="Arial" w:cs="Arial"/>
                <w:b w:val="0"/>
                <w:bCs w:val="0"/>
                <w:sz w:val="21"/>
                <w:szCs w:val="21"/>
                <w:rtl/>
              </w:rPr>
              <w:t>حصر الادعاء في تصميم الدراسة ومجالها</w:t>
            </w:r>
          </w:p>
        </w:tc>
      </w:tr>
    </w:tbl>
    <w:p w14:paraId="32C0014F">
      <w:pPr>
        <w:bidi/>
        <w:spacing w:after="140" w:line="340" w:lineRule="auto"/>
        <w:jc w:val="left"/>
      </w:pPr>
    </w:p>
    <w:p w14:paraId="749A5880">
      <w:pPr>
        <w:bidi/>
        <w:spacing w:after="140" w:line="340" w:lineRule="auto"/>
        <w:jc w:val="left"/>
      </w:pPr>
      <w:r>
        <w:rPr>
          <w:rFonts w:ascii="Arial" w:hAnsi="Arial" w:eastAsia="Arial" w:cs="Arial"/>
          <w:b/>
          <w:bCs/>
          <w:sz w:val="24"/>
          <w:szCs w:val="24"/>
          <w:rtl/>
        </w:rPr>
        <w:t>تصحيح «الفجوة»:</w:t>
      </w:r>
      <w:r>
        <w:rPr>
          <w:rFonts w:ascii="Arial" w:hAnsi="Arial" w:eastAsia="Arial" w:cs="Arial"/>
          <w:sz w:val="24"/>
          <w:szCs w:val="24"/>
          <w:rtl/>
        </w:rPr>
        <w:t xml:space="preserve"> عبارة «لم تُقيَّم أداة على مسار تصنيف كامل مقابل مرجع متحقق منه» واسعة جداً، لأن ClawBench وغيرها قيّمت ذلك لتصنيف ACMG عموماً. والصياغة الصحيحة: لم أجد تقييماً لأدوات الذكاء الاصطناعي على </w:t>
      </w:r>
      <w:r>
        <w:rPr>
          <w:rFonts w:ascii="Arial" w:hAnsi="Arial" w:eastAsia="Arial" w:cs="Arial"/>
          <w:b/>
          <w:bCs/>
          <w:sz w:val="24"/>
          <w:szCs w:val="24"/>
          <w:rtl/>
        </w:rPr>
        <w:t>خطة ترشيح كاملة لمتغيرات مرض نادر محدد</w:t>
      </w:r>
      <w:r>
        <w:rPr>
          <w:rFonts w:ascii="Arial" w:hAnsi="Arial" w:eastAsia="Arial" w:cs="Arial"/>
          <w:sz w:val="24"/>
          <w:szCs w:val="24"/>
          <w:rtl/>
        </w:rPr>
        <w:t xml:space="preserve"> مقابل مرجع موثَّق بالمصادر الأولية، باختبارات استدلالية مقترنة.</w:t>
      </w:r>
    </w:p>
    <w:p w14:paraId="45D34CCE">
      <w:pPr>
        <w:pStyle w:val="3"/>
        <w:keepNext/>
        <w:bidi/>
        <w:spacing w:before="280" w:after="120"/>
        <w:rPr>
          <w:highlight w:val="green"/>
        </w:rPr>
      </w:pPr>
      <w:r>
        <w:rPr>
          <w:rFonts w:ascii="Arial" w:hAnsi="Arial" w:eastAsia="Arial" w:cs="Arial"/>
          <w:b/>
          <w:bCs/>
          <w:sz w:val="28"/>
          <w:szCs w:val="28"/>
          <w:rtl/>
        </w:rPr>
        <w:t>12</w:t>
      </w:r>
      <w:r>
        <w:rPr>
          <w:rFonts w:ascii="Arial" w:hAnsi="Arial" w:eastAsia="Arial" w:cs="Arial"/>
          <w:b/>
          <w:bCs/>
          <w:sz w:val="28"/>
          <w:szCs w:val="28"/>
          <w:highlight w:val="green"/>
          <w:rtl/>
        </w:rPr>
        <w:t>. الموقع من المسار السريري والمخرج العملي</w:t>
      </w:r>
    </w:p>
    <w:p w14:paraId="69035A94">
      <w:pPr>
        <w:pStyle w:val="16"/>
        <w:numPr>
          <w:ilvl w:val="0"/>
          <w:numId w:val="2"/>
        </w:numPr>
        <w:bidi/>
        <w:spacing w:after="90" w:line="330" w:lineRule="auto"/>
      </w:pPr>
      <w:r>
        <w:rPr>
          <w:rFonts w:ascii="Arial" w:hAnsi="Arial" w:eastAsia="Arial" w:cs="Arial"/>
          <w:sz w:val="24"/>
          <w:szCs w:val="24"/>
          <w:rtl/>
        </w:rPr>
        <w:t>في فراغ التشخيص الجزيئي يقدّم المشروع طبقة تفسيرية تعيد فحص المتغيرات المرسلة وتربطها بالنمط العقمي؛ وهو مكمّل للتسلسل السريري لا بديل عنه.</w:t>
      </w:r>
    </w:p>
    <w:p w14:paraId="514AD3D4">
      <w:pPr>
        <w:pStyle w:val="16"/>
        <w:numPr>
          <w:ilvl w:val="0"/>
          <w:numId w:val="2"/>
        </w:numPr>
        <w:bidi/>
        <w:spacing w:after="90" w:line="330" w:lineRule="auto"/>
      </w:pPr>
      <w:r>
        <w:rPr>
          <w:rFonts w:ascii="Arial" w:hAnsi="Arial" w:eastAsia="Arial" w:cs="Arial"/>
          <w:sz w:val="24"/>
          <w:szCs w:val="24"/>
          <w:rtl/>
        </w:rPr>
        <w:t>إذا كان نحو ثلاثة أرباع المتغيرات الممرضة في هذه الجينات غير مسجّل للعقم، فإن إعادة المطابقة قد تمنع نسب متغير سرطاني أو متلازمة أندروجينية إلى العقم، وتعيد توجيه الحالة إلى التخصص الصحيح.</w:t>
      </w:r>
    </w:p>
    <w:p w14:paraId="7221CAB0">
      <w:pPr>
        <w:pStyle w:val="16"/>
        <w:numPr>
          <w:ilvl w:val="0"/>
          <w:numId w:val="2"/>
        </w:numPr>
        <w:bidi/>
        <w:spacing w:after="90" w:line="330" w:lineRule="auto"/>
      </w:pPr>
      <w:r>
        <w:rPr>
          <w:rFonts w:ascii="Arial" w:hAnsi="Arial" w:eastAsia="Arial" w:cs="Arial"/>
          <w:sz w:val="24"/>
          <w:szCs w:val="24"/>
          <w:rtl/>
        </w:rPr>
        <w:t>المخرج قائمة مرشّحين مطابقة للمرض جاهزة للتحقق الوظيفي، وليست تشخيصاً؛ ويُحتفظ بالفرق بين «ممرض في ClinVar» و«سبب للعقم»، وبين «مرشَّح» و«تشخيص».</w:t>
      </w:r>
    </w:p>
    <w:p w14:paraId="4632E2D9">
      <w:pPr>
        <w:pStyle w:val="3"/>
        <w:keepNext/>
        <w:bidi/>
        <w:spacing w:before="280" w:after="120"/>
        <w:rPr>
          <w:highlight w:val="green"/>
        </w:rPr>
      </w:pPr>
      <w:r>
        <w:rPr>
          <w:rFonts w:ascii="Arial" w:hAnsi="Arial" w:eastAsia="Arial" w:cs="Arial"/>
          <w:b/>
          <w:bCs/>
          <w:sz w:val="28"/>
          <w:szCs w:val="28"/>
          <w:rtl/>
        </w:rPr>
        <w:t>13</w:t>
      </w:r>
      <w:r>
        <w:rPr>
          <w:rFonts w:ascii="Arial" w:hAnsi="Arial" w:eastAsia="Arial" w:cs="Arial"/>
          <w:b/>
          <w:bCs/>
          <w:sz w:val="28"/>
          <w:szCs w:val="28"/>
          <w:highlight w:val="green"/>
          <w:rtl/>
        </w:rPr>
        <w:t>. القوة كمشروع تخرج جامعي</w:t>
      </w:r>
    </w:p>
    <w:p w14:paraId="5C2AF527">
      <w:pPr>
        <w:pStyle w:val="16"/>
        <w:numPr>
          <w:ilvl w:val="0"/>
          <w:numId w:val="2"/>
        </w:numPr>
        <w:bidi/>
        <w:spacing w:after="90" w:line="330" w:lineRule="auto"/>
      </w:pPr>
      <w:r>
        <w:rPr>
          <w:rFonts w:ascii="Arial" w:hAnsi="Arial" w:eastAsia="Arial" w:cs="Arial"/>
          <w:b/>
          <w:bCs/>
          <w:sz w:val="24"/>
          <w:szCs w:val="24"/>
          <w:rtl/>
        </w:rPr>
        <w:t>الحجم والنطاق:</w:t>
      </w:r>
      <w:r>
        <w:rPr>
          <w:rFonts w:ascii="Arial" w:hAnsi="Arial" w:eastAsia="Arial" w:cs="Arial"/>
          <w:sz w:val="24"/>
          <w:szCs w:val="24"/>
          <w:rtl/>
        </w:rPr>
        <w:t xml:space="preserve"> ستة فصول، و34 جدولاً، و44 شكلاً، وأكثر من 130 مرجعاً، ومصفوفة من 48 ورقة Excel، وسجل من 502 ملفاً مدقّقاً.</w:t>
      </w:r>
    </w:p>
    <w:p w14:paraId="14CCA7F3">
      <w:pPr>
        <w:pStyle w:val="16"/>
        <w:numPr>
          <w:ilvl w:val="0"/>
          <w:numId w:val="2"/>
        </w:numPr>
        <w:bidi/>
        <w:spacing w:after="90" w:line="330" w:lineRule="auto"/>
      </w:pPr>
      <w:r>
        <w:rPr>
          <w:rFonts w:ascii="Arial" w:hAnsi="Arial" w:eastAsia="Arial" w:cs="Arial"/>
          <w:b/>
          <w:bCs/>
          <w:sz w:val="24"/>
          <w:szCs w:val="24"/>
          <w:rtl/>
        </w:rPr>
        <w:t>تعدد المهارات:</w:t>
      </w:r>
      <w:r>
        <w:rPr>
          <w:rFonts w:ascii="Arial" w:hAnsi="Arial" w:eastAsia="Arial" w:cs="Arial"/>
          <w:sz w:val="24"/>
          <w:szCs w:val="24"/>
          <w:rtl/>
        </w:rPr>
        <w:t xml:space="preserve"> معلوماتية حيوية، وبرمجة Python، وإحصاء استدلالي، وتحليل بنيوي، وتطوير ويب، وتقييم أدوات ذكاء اصطناعي في عمل واحد مترابط.</w:t>
      </w:r>
    </w:p>
    <w:p w14:paraId="222E77C2">
      <w:pPr>
        <w:pStyle w:val="16"/>
        <w:numPr>
          <w:ilvl w:val="0"/>
          <w:numId w:val="2"/>
        </w:numPr>
        <w:bidi/>
        <w:spacing w:after="90" w:line="330" w:lineRule="auto"/>
      </w:pPr>
      <w:r>
        <w:rPr>
          <w:rFonts w:ascii="Arial" w:hAnsi="Arial" w:eastAsia="Arial" w:cs="Arial"/>
          <w:b/>
          <w:bCs/>
          <w:sz w:val="24"/>
          <w:szCs w:val="24"/>
          <w:rtl/>
        </w:rPr>
        <w:t>النضج العلمي:</w:t>
      </w:r>
      <w:r>
        <w:rPr>
          <w:rFonts w:ascii="Arial" w:hAnsi="Arial" w:eastAsia="Arial" w:cs="Arial"/>
          <w:sz w:val="24"/>
          <w:szCs w:val="24"/>
          <w:rtl/>
        </w:rPr>
        <w:t xml:space="preserve"> تنتقد الرسالة نفسها، وتوثّق تصحيحاً جوهرياً (تغيير ممثِّل NR5A1)، وتكتشف أخطاء في قيم التعبير وتصحّحها، وتعرض القيود في جدول مخصص.</w:t>
      </w:r>
    </w:p>
    <w:p w14:paraId="21ED8155">
      <w:pPr>
        <w:pStyle w:val="16"/>
        <w:numPr>
          <w:ilvl w:val="0"/>
          <w:numId w:val="2"/>
        </w:numPr>
        <w:bidi/>
        <w:spacing w:after="90" w:line="330" w:lineRule="auto"/>
      </w:pPr>
      <w:r>
        <w:rPr>
          <w:rFonts w:ascii="Arial" w:hAnsi="Arial" w:eastAsia="Arial" w:cs="Arial"/>
          <w:b/>
          <w:bCs/>
          <w:sz w:val="24"/>
          <w:szCs w:val="24"/>
          <w:rtl/>
        </w:rPr>
        <w:t>قابلية النشر:</w:t>
      </w:r>
      <w:r>
        <w:rPr>
          <w:rFonts w:ascii="Arial" w:hAnsi="Arial" w:eastAsia="Arial" w:cs="Arial"/>
          <w:sz w:val="24"/>
          <w:szCs w:val="24"/>
          <w:rtl/>
        </w:rPr>
        <w:t xml:space="preserve"> يمكن استخراج ورقتين على الأقل: منهجية عن مطابقة المرض وإعادة تأويل ClinVar في العقم الذكري، وأخرى لتقييم أدوات الذكاء الاصطناعي في الجينوم مع بروتوكول المقارنة.</w:t>
      </w:r>
    </w:p>
    <w:p w14:paraId="2AB5B8AD">
      <w:pPr>
        <w:pStyle w:val="3"/>
        <w:keepNext/>
        <w:bidi/>
        <w:spacing w:before="280" w:after="120"/>
      </w:pPr>
      <w:r>
        <w:rPr>
          <w:rFonts w:ascii="Arial" w:hAnsi="Arial" w:eastAsia="Arial" w:cs="Arial"/>
          <w:b/>
          <w:bCs/>
          <w:sz w:val="28"/>
          <w:szCs w:val="28"/>
          <w:rtl/>
        </w:rPr>
        <w:t>14. حدود الدراسة (تعزز مصداقيتها)</w:t>
      </w:r>
    </w:p>
    <w:p w14:paraId="76DFEF62">
      <w:pPr>
        <w:pStyle w:val="16"/>
        <w:numPr>
          <w:ilvl w:val="0"/>
          <w:numId w:val="2"/>
        </w:numPr>
        <w:bidi/>
        <w:spacing w:after="90" w:line="330" w:lineRule="auto"/>
      </w:pPr>
      <w:r>
        <w:rPr>
          <w:rFonts w:ascii="Arial" w:hAnsi="Arial" w:eastAsia="Arial" w:cs="Arial"/>
          <w:sz w:val="24"/>
          <w:szCs w:val="24"/>
          <w:rtl/>
        </w:rPr>
        <w:t>دراسة حاسوبية استعادية على بيانات عامة، لا تجمع عينات من مرضى ولا تكتشف متغيرات جديدة ولا تقدّر العائد التشخيصي.</w:t>
      </w:r>
    </w:p>
    <w:p w14:paraId="467F12A6">
      <w:pPr>
        <w:pStyle w:val="16"/>
        <w:numPr>
          <w:ilvl w:val="0"/>
          <w:numId w:val="2"/>
        </w:numPr>
        <w:bidi/>
        <w:spacing w:after="90" w:line="330" w:lineRule="auto"/>
      </w:pPr>
      <w:r>
        <w:rPr>
          <w:rFonts w:ascii="Arial" w:hAnsi="Arial" w:eastAsia="Arial" w:cs="Arial"/>
          <w:sz w:val="24"/>
          <w:szCs w:val="24"/>
          <w:rtl/>
        </w:rPr>
        <w:t>تقتصر على المتغيرات الصغيرة (SNV وindel) أحادية الجين، ولا تشمل الشذوذ الكروموسومي وحذوف الكروموسوم Y وتغيرات عدد النسخ.</w:t>
      </w:r>
    </w:p>
    <w:p w14:paraId="16D5F3C2">
      <w:pPr>
        <w:pStyle w:val="16"/>
        <w:numPr>
          <w:ilvl w:val="0"/>
          <w:numId w:val="2"/>
        </w:numPr>
        <w:bidi/>
        <w:spacing w:after="90" w:line="330" w:lineRule="auto"/>
      </w:pPr>
      <w:r>
        <w:rPr>
          <w:rFonts w:ascii="Arial" w:hAnsi="Arial" w:eastAsia="Arial" w:cs="Arial"/>
          <w:sz w:val="24"/>
          <w:szCs w:val="24"/>
          <w:rtl/>
        </w:rPr>
        <w:t>العتبات (CADD ≥ 20 وتردد gnomAD ≤ 0.001) اصطلاحية شائعة في دراسات الأمراض النادرة، لا مشتقة رياضياً لهذا المرض، وقد اختُبرت حساسيتها.</w:t>
      </w:r>
    </w:p>
    <w:p w14:paraId="62E0BF3A">
      <w:pPr>
        <w:pStyle w:val="16"/>
        <w:numPr>
          <w:ilvl w:val="0"/>
          <w:numId w:val="2"/>
        </w:numPr>
        <w:bidi/>
        <w:spacing w:after="90" w:line="330" w:lineRule="auto"/>
      </w:pPr>
      <w:r>
        <w:rPr>
          <w:rFonts w:ascii="Arial" w:hAnsi="Arial" w:eastAsia="Arial" w:cs="Arial"/>
          <w:sz w:val="24"/>
          <w:szCs w:val="24"/>
          <w:rtl/>
        </w:rPr>
        <w:t>التحليل البنيوي وتوقع NMD يولّدان فرضيات ولا يثبتان السببية.</w:t>
      </w:r>
    </w:p>
    <w:p w14:paraId="6192DE56">
      <w:pPr>
        <w:pStyle w:val="16"/>
        <w:numPr>
          <w:ilvl w:val="0"/>
          <w:numId w:val="2"/>
        </w:numPr>
        <w:bidi/>
        <w:spacing w:after="90" w:line="330" w:lineRule="auto"/>
      </w:pPr>
      <w:r>
        <w:rPr>
          <w:rFonts w:ascii="Arial" w:hAnsi="Arial" w:eastAsia="Arial" w:cs="Arial"/>
          <w:sz w:val="24"/>
          <w:szCs w:val="24"/>
          <w:rtl/>
        </w:rPr>
        <w:t>مخرجات الذكاء الاصطناعي ليست مصدراً مستقلاً، ونتائج المقارنة تخص المجموعات المدروسة ولا تُعمَّم على الأدوات خارجها.</w:t>
      </w:r>
    </w:p>
    <w:p w14:paraId="1F9EBC9C">
      <w:pPr>
        <w:pStyle w:val="3"/>
        <w:keepNext/>
        <w:bidi/>
        <w:spacing w:before="280" w:after="120"/>
      </w:pPr>
      <w:r>
        <w:rPr>
          <w:rFonts w:ascii="Arial" w:hAnsi="Arial" w:eastAsia="Arial" w:cs="Arial"/>
          <w:b/>
          <w:bCs/>
          <w:sz w:val="28"/>
          <w:szCs w:val="28"/>
          <w:rtl/>
        </w:rPr>
        <w:t>15. أسئلة اللجنة المتوقعة</w:t>
      </w:r>
    </w:p>
    <w:p w14:paraId="782B92ED">
      <w:pPr>
        <w:pStyle w:val="16"/>
        <w:numPr>
          <w:ilvl w:val="0"/>
          <w:numId w:val="2"/>
        </w:numPr>
        <w:bidi/>
        <w:spacing w:after="90" w:line="330" w:lineRule="auto"/>
      </w:pPr>
      <w:r>
        <w:rPr>
          <w:rFonts w:ascii="Arial" w:hAnsi="Arial" w:eastAsia="Arial" w:cs="Arial"/>
          <w:b/>
          <w:bCs/>
          <w:sz w:val="24"/>
          <w:szCs w:val="24"/>
          <w:rtl/>
        </w:rPr>
        <w:t>ما الجديد؟</w:t>
      </w:r>
      <w:r>
        <w:rPr>
          <w:rFonts w:ascii="Arial" w:hAnsi="Arial" w:eastAsia="Arial" w:cs="Arial"/>
          <w:sz w:val="24"/>
          <w:szCs w:val="24"/>
          <w:rtl/>
        </w:rPr>
        <w:t xml:space="preserve"> لا اكتشاف جين جديد؛ الجديد تقييم نقدي موثَّق للأدلة الموجودة، يبيّن أن 24.9% فقط من المتغيرات الممرِضة في جينات العقم الذكري المعتمدة مسجّلة له.</w:t>
      </w:r>
    </w:p>
    <w:p w14:paraId="4518D106">
      <w:pPr>
        <w:pStyle w:val="16"/>
        <w:numPr>
          <w:ilvl w:val="0"/>
          <w:numId w:val="2"/>
        </w:numPr>
        <w:bidi/>
        <w:spacing w:after="90" w:line="330" w:lineRule="auto"/>
      </w:pPr>
      <w:r>
        <w:rPr>
          <w:rFonts w:ascii="Arial" w:hAnsi="Arial" w:eastAsia="Arial" w:cs="Arial"/>
          <w:b/>
          <w:bCs/>
          <w:sz w:val="24"/>
          <w:szCs w:val="24"/>
          <w:rtl/>
        </w:rPr>
        <w:t>ألا يُفترض أن كل ما في قواعد البيانات مثبت؟</w:t>
      </w:r>
      <w:r>
        <w:rPr>
          <w:rFonts w:ascii="Arial" w:hAnsi="Arial" w:eastAsia="Arial" w:cs="Arial"/>
          <w:sz w:val="24"/>
          <w:szCs w:val="24"/>
          <w:rtl/>
        </w:rPr>
        <w:t xml:space="preserve"> لا؛ هي أرشيف ادعاءات بدرجات دليل مختلفة، ولذلك صيغ السؤال بعبارة «أيها يملك أقوى دليل متكامل».</w:t>
      </w:r>
    </w:p>
    <w:p w14:paraId="766C080C">
      <w:pPr>
        <w:pStyle w:val="16"/>
        <w:numPr>
          <w:ilvl w:val="0"/>
          <w:numId w:val="2"/>
        </w:numPr>
        <w:bidi/>
        <w:spacing w:after="90" w:line="330" w:lineRule="auto"/>
      </w:pPr>
      <w:r>
        <w:rPr>
          <w:rFonts w:ascii="Arial" w:hAnsi="Arial" w:eastAsia="Arial" w:cs="Arial"/>
          <w:b/>
          <w:bCs/>
          <w:sz w:val="24"/>
          <w:szCs w:val="24"/>
          <w:rtl/>
        </w:rPr>
        <w:t>لماذا هذه العتبات؟</w:t>
      </w:r>
      <w:r>
        <w:rPr>
          <w:rFonts w:ascii="Arial" w:hAnsi="Arial" w:eastAsia="Arial" w:cs="Arial"/>
          <w:sz w:val="24"/>
          <w:szCs w:val="24"/>
          <w:rtl/>
        </w:rPr>
        <w:t xml:space="preserve"> اصطلاحية شائعة، وجُرّبت عتبات أخرى (تسعة سيناريوهات) فلم تتغير المجموعة النهائية.</w:t>
      </w:r>
    </w:p>
    <w:p w14:paraId="740F1CE9">
      <w:pPr>
        <w:pStyle w:val="16"/>
        <w:numPr>
          <w:ilvl w:val="0"/>
          <w:numId w:val="2"/>
        </w:numPr>
        <w:bidi/>
        <w:spacing w:after="90" w:line="330" w:lineRule="auto"/>
      </w:pPr>
      <w:r>
        <w:rPr>
          <w:rFonts w:ascii="Arial" w:hAnsi="Arial" w:eastAsia="Arial" w:cs="Arial"/>
          <w:b/>
          <w:bCs/>
          <w:sz w:val="24"/>
          <w:szCs w:val="24"/>
          <w:rtl/>
        </w:rPr>
        <w:t>لماذا معظم الممثِّلين متغيرات فقد وظيفة؟</w:t>
      </w:r>
      <w:r>
        <w:rPr>
          <w:rFonts w:ascii="Arial" w:hAnsi="Arial" w:eastAsia="Arial" w:cs="Arial"/>
          <w:sz w:val="24"/>
          <w:szCs w:val="24"/>
          <w:rtl/>
        </w:rPr>
        <w:t xml:space="preserve"> لأن قاعدة «الأعلى درجة» تفضّل متغيرات الإيقاف؛ وهو انحياز منهجي معلن عالجه توسّع missense.</w:t>
      </w:r>
    </w:p>
    <w:p w14:paraId="6C270479">
      <w:pPr>
        <w:pStyle w:val="3"/>
        <w:keepNext/>
        <w:bidi/>
        <w:spacing w:before="280" w:after="120"/>
      </w:pPr>
      <w:r>
        <w:rPr>
          <w:rFonts w:ascii="Arial" w:hAnsi="Arial" w:eastAsia="Arial" w:cs="Arial"/>
          <w:b/>
          <w:bCs/>
          <w:sz w:val="28"/>
          <w:szCs w:val="28"/>
          <w:rtl/>
        </w:rPr>
        <w:t>16. الخلاصة وأقوى جملة</w:t>
      </w:r>
    </w:p>
    <w:p w14:paraId="00F1DD5E">
      <w:pPr>
        <w:bidi/>
        <w:spacing w:after="140" w:line="340" w:lineRule="auto"/>
        <w:jc w:val="left"/>
      </w:pPr>
      <w:r>
        <w:rPr>
          <w:rFonts w:ascii="Arial" w:hAnsi="Arial" w:eastAsia="Arial" w:cs="Arial"/>
          <w:sz w:val="24"/>
          <w:szCs w:val="24"/>
          <w:rtl/>
        </w:rPr>
        <w:t>للمشروع ندرة قابلة للدفاع في عناصر مجتمعة: مطابقة المرض على مستوى التقييم المرسل، وطبقات أدلة متعددة من ملفات خام، ومقارنة إحصائية مقترنة بين مسارات معلوماتية ومسارات ذكاء اصطناعي مع تدقيق استقلالية بالبصمات الرقمية، وموقع تفاعلي يعيد حساب الاختبارات. ولم تُجمع هذه العناصر بهذا الشكل في سياق العقم الذكري، حسب علمنا.</w:t>
      </w:r>
    </w:p>
    <w:p w14:paraId="2E3502F2">
      <w:pPr>
        <w:pBdr>
          <w:right w:val="single" w:color="2E75B6" w:sz="12" w:space="8"/>
        </w:pBdr>
        <w:shd w:val="clear" w:fill="EEF4FA"/>
        <w:bidi/>
        <w:spacing w:after="140" w:line="340" w:lineRule="auto"/>
        <w:ind w:left="360" w:right="360"/>
      </w:pPr>
      <w:r>
        <w:rPr>
          <w:rFonts w:ascii="Arial" w:hAnsi="Arial" w:eastAsia="Arial" w:cs="Arial"/>
          <w:sz w:val="24"/>
          <w:szCs w:val="24"/>
          <w:rtl/>
        </w:rPr>
        <w:t>نحو ثلاثة أرباع المتغيرات المصنّفة «ممرضة» في جينات العقم الذكري المعتمدة غير مسجّلة للعقم الذكري؛ وقاعدة «أعلى CADD» وحدها كانت ستختار 6 من 15 ممثِّلاً مسجّلين لأمراض أخرى؛ ولم يصمد أي فرق بين أدوات الذكاء الاصطناعي بعد تصحيح Holm؛ والأدوات التي قرأت الملفات الخام هي التي كشفت الأخطاء.</w:t>
      </w:r>
    </w:p>
    <w:p w14:paraId="3A11EFA1">
      <w:pPr>
        <w:pStyle w:val="3"/>
        <w:keepNext/>
        <w:bidi/>
        <w:spacing w:before="280" w:after="120"/>
      </w:pPr>
      <w:r>
        <w:rPr>
          <w:rFonts w:ascii="Arial" w:hAnsi="Arial" w:eastAsia="Arial" w:cs="Arial"/>
          <w:b/>
          <w:bCs/>
          <w:sz w:val="28"/>
          <w:szCs w:val="28"/>
          <w:rtl/>
        </w:rPr>
        <w:t>المراجع</w:t>
      </w:r>
    </w:p>
    <w:p w14:paraId="4DD6DF84">
      <w:pPr>
        <w:pStyle w:val="16"/>
        <w:numPr>
          <w:ilvl w:val="0"/>
          <w:numId w:val="3"/>
        </w:numPr>
        <w:bidi/>
        <w:spacing w:after="80"/>
      </w:pPr>
      <w:r>
        <w:rPr>
          <w:rFonts w:ascii="Arial" w:hAnsi="Arial" w:eastAsia="Arial" w:cs="Arial"/>
          <w:sz w:val="21"/>
          <w:szCs w:val="21"/>
        </w:rPr>
        <w:t>Houston BJ, et al. A systematic review of the validated monogenic causes of human male infertility: 2020 update and a discussion of emerging gene–disease relationships. Hum Reprod Update. 2022;28(1):15–29. doi:10.1093/humupd/dmab030</w:t>
      </w:r>
    </w:p>
    <w:p w14:paraId="515A7390">
      <w:pPr>
        <w:pStyle w:val="16"/>
        <w:numPr>
          <w:ilvl w:val="0"/>
          <w:numId w:val="3"/>
        </w:numPr>
        <w:bidi/>
        <w:spacing w:after="80"/>
      </w:pPr>
      <w:r>
        <w:rPr>
          <w:rFonts w:ascii="Arial" w:hAnsi="Arial" w:eastAsia="Arial" w:cs="Arial"/>
          <w:sz w:val="21"/>
          <w:szCs w:val="21"/>
        </w:rPr>
        <w:t>Zhao Q, et al. A systematic review and evidence assessment of monogenic gene–disease relationships in human male infertility. Front Endocrinol. 2025. doi:10.3389/fendo.2025.1643543</w:t>
      </w:r>
    </w:p>
    <w:p w14:paraId="1AD06A3D">
      <w:pPr>
        <w:pStyle w:val="16"/>
        <w:numPr>
          <w:ilvl w:val="0"/>
          <w:numId w:val="3"/>
        </w:numPr>
        <w:bidi/>
        <w:spacing w:after="80"/>
      </w:pPr>
      <w:r>
        <w:rPr>
          <w:rFonts w:ascii="Arial" w:hAnsi="Arial" w:eastAsia="Arial" w:cs="Arial"/>
          <w:sz w:val="21"/>
          <w:szCs w:val="21"/>
        </w:rPr>
        <w:t>Oud MS, et al. A systematic review and standardized clinical validity assessment of male infertility genes. Hum Reprod. 2019;34(5):932–941.</w:t>
      </w:r>
    </w:p>
    <w:p w14:paraId="52E99094">
      <w:pPr>
        <w:pStyle w:val="16"/>
        <w:numPr>
          <w:ilvl w:val="0"/>
          <w:numId w:val="3"/>
        </w:numPr>
        <w:bidi/>
        <w:spacing w:after="80"/>
      </w:pPr>
      <w:r>
        <w:rPr>
          <w:rFonts w:ascii="Arial" w:hAnsi="Arial" w:eastAsia="Arial" w:cs="Arial"/>
          <w:sz w:val="21"/>
          <w:szCs w:val="21"/>
        </w:rPr>
        <w:t>Lillepea K, et al. Toward clinical exomes in diagnostics and management of male infertility. Am J Hum Genet. 2024;111(5):877–895.</w:t>
      </w:r>
    </w:p>
    <w:p w14:paraId="54A2E6E7">
      <w:pPr>
        <w:pStyle w:val="16"/>
        <w:numPr>
          <w:ilvl w:val="0"/>
          <w:numId w:val="3"/>
        </w:numPr>
        <w:bidi/>
        <w:spacing w:after="80"/>
      </w:pPr>
      <w:r>
        <w:rPr>
          <w:rFonts w:ascii="Arial" w:hAnsi="Arial" w:eastAsia="Arial" w:cs="Arial"/>
          <w:sz w:val="21"/>
          <w:szCs w:val="21"/>
        </w:rPr>
        <w:t>Zhou F, et al. Diagnostic yield of exome sequencing in nonobstructive azoospermia (NOA): a systematic review and meta-analysis. PLoS One. 2025.</w:t>
      </w:r>
    </w:p>
    <w:p w14:paraId="6F0C1F0A">
      <w:pPr>
        <w:pStyle w:val="16"/>
        <w:numPr>
          <w:ilvl w:val="0"/>
          <w:numId w:val="3"/>
        </w:numPr>
        <w:bidi/>
        <w:spacing w:after="80"/>
      </w:pPr>
      <w:r>
        <w:rPr>
          <w:rFonts w:ascii="Arial" w:hAnsi="Arial" w:eastAsia="Arial" w:cs="Arial"/>
          <w:sz w:val="21"/>
          <w:szCs w:val="21"/>
        </w:rPr>
        <w:t>Riera-Escamilla A, et al. Diagnostic yield and TESE prognostic value of a NOA-specific virtual gene panel. Hum Reprod Open. 2025;2025(3):hoaf049.</w:t>
      </w:r>
    </w:p>
    <w:p w14:paraId="0C5B13B7">
      <w:pPr>
        <w:pStyle w:val="16"/>
        <w:numPr>
          <w:ilvl w:val="0"/>
          <w:numId w:val="3"/>
        </w:numPr>
        <w:bidi/>
        <w:spacing w:after="80"/>
      </w:pPr>
      <w:r>
        <w:rPr>
          <w:rFonts w:ascii="Arial" w:hAnsi="Arial" w:eastAsia="Arial" w:cs="Arial"/>
          <w:sz w:val="21"/>
          <w:szCs w:val="21"/>
        </w:rPr>
        <w:t>Shah N, et al. Identification of misclassified ClinVar variants via disease population prevalence. Am J Hum Genet. 2018;102(4):609–619.</w:t>
      </w:r>
    </w:p>
    <w:p w14:paraId="09D6FC20">
      <w:pPr>
        <w:pStyle w:val="16"/>
        <w:numPr>
          <w:ilvl w:val="0"/>
          <w:numId w:val="3"/>
        </w:numPr>
        <w:bidi/>
        <w:spacing w:after="80"/>
      </w:pPr>
      <w:r>
        <w:rPr>
          <w:rFonts w:ascii="Arial" w:hAnsi="Arial" w:eastAsia="Arial" w:cs="Arial"/>
          <w:sz w:val="21"/>
          <w:szCs w:val="21"/>
        </w:rPr>
        <w:t>Lazareva TE, et al. Major causes of conflicting interpretations of variant pathogenicity in rare disease: a systematic analysis. J Pers Med. 2024;14(8):864. doi:10.3390/jpm14080864</w:t>
      </w:r>
    </w:p>
    <w:p w14:paraId="289B832E">
      <w:pPr>
        <w:pStyle w:val="16"/>
        <w:numPr>
          <w:ilvl w:val="0"/>
          <w:numId w:val="3"/>
        </w:numPr>
        <w:bidi/>
        <w:spacing w:after="80"/>
      </w:pPr>
      <w:r>
        <w:rPr>
          <w:rFonts w:ascii="Arial" w:hAnsi="Arial" w:eastAsia="Arial" w:cs="Arial"/>
          <w:sz w:val="21"/>
          <w:szCs w:val="21"/>
        </w:rPr>
        <w:t>Xiang J, et al. Reinterpretation of common pathogenic variants in ClinVar revealed a high proportion of downgrades. Sci Rep. 2020;10:331.</w:t>
      </w:r>
    </w:p>
    <w:p w14:paraId="0183BF0D">
      <w:pPr>
        <w:pStyle w:val="16"/>
        <w:numPr>
          <w:ilvl w:val="0"/>
          <w:numId w:val="3"/>
        </w:numPr>
        <w:bidi/>
        <w:spacing w:after="80"/>
      </w:pPr>
      <w:r>
        <w:rPr>
          <w:rFonts w:ascii="Arial" w:hAnsi="Arial" w:eastAsia="Arial" w:cs="Arial"/>
          <w:sz w:val="21"/>
          <w:szCs w:val="21"/>
        </w:rPr>
        <w:t>Krenz H, et al. The Male Fertility Gene Atlas: a web tool for collecting and integrating OMICS data in the context of male infertility. Hum Reprod. 2020;35(9):1983–1990.</w:t>
      </w:r>
    </w:p>
    <w:p w14:paraId="394DCC87">
      <w:pPr>
        <w:pStyle w:val="16"/>
        <w:numPr>
          <w:ilvl w:val="0"/>
          <w:numId w:val="3"/>
        </w:numPr>
        <w:bidi/>
        <w:spacing w:after="80"/>
      </w:pPr>
      <w:r>
        <w:rPr>
          <w:rFonts w:ascii="Arial" w:hAnsi="Arial" w:eastAsia="Arial" w:cs="Arial"/>
          <w:sz w:val="21"/>
          <w:szCs w:val="21"/>
        </w:rPr>
        <w:t>Joseph S, Mahale SD. Male Infertility Knowledgebase: decoding the genetic and disease landscape. Database. 2021;2021:baab049.</w:t>
      </w:r>
    </w:p>
    <w:p w14:paraId="3D37EAAA">
      <w:pPr>
        <w:pStyle w:val="16"/>
        <w:numPr>
          <w:ilvl w:val="0"/>
          <w:numId w:val="3"/>
        </w:numPr>
        <w:bidi/>
        <w:spacing w:after="80"/>
      </w:pPr>
      <w:r>
        <w:rPr>
          <w:rFonts w:ascii="Arial" w:hAnsi="Arial" w:eastAsia="Arial" w:cs="Arial"/>
          <w:sz w:val="21"/>
          <w:szCs w:val="21"/>
        </w:rPr>
        <w:t>Wu J, et al. IDDB: a comprehensive resource featuring genes, variants and characteristics associated with infertility. Nucleic Acids Res. 2021;49(D1):D1218–D1224.</w:t>
      </w:r>
    </w:p>
    <w:p w14:paraId="77E592A7">
      <w:pPr>
        <w:pStyle w:val="16"/>
        <w:numPr>
          <w:ilvl w:val="0"/>
          <w:numId w:val="3"/>
        </w:numPr>
        <w:bidi/>
        <w:spacing w:after="80"/>
      </w:pPr>
      <w:r>
        <w:rPr>
          <w:rFonts w:ascii="Arial" w:hAnsi="Arial" w:eastAsia="Arial" w:cs="Arial"/>
          <w:sz w:val="21"/>
          <w:szCs w:val="21"/>
        </w:rPr>
        <w:t>Gao J, et al. FertilityOnline: a straightforward pipeline for functional gene annotation and disease mutation discovery. Genomics Proteomics Bioinformatics. 2022;20(3):455–465.</w:t>
      </w:r>
    </w:p>
    <w:p w14:paraId="6D1B37A0">
      <w:pPr>
        <w:pStyle w:val="16"/>
        <w:numPr>
          <w:ilvl w:val="0"/>
          <w:numId w:val="3"/>
        </w:numPr>
        <w:bidi/>
        <w:spacing w:after="80"/>
      </w:pPr>
      <w:r>
        <w:rPr>
          <w:rFonts w:ascii="Arial" w:hAnsi="Arial" w:eastAsia="Arial" w:cs="Arial"/>
          <w:sz w:val="21"/>
          <w:szCs w:val="21"/>
        </w:rPr>
        <w:t>Corpas M. Benchmarking large language models for ACMG/AMP variant interpretation and variant calling (ClawBench). bioRxiv. 2026. doi:10.64898/2026.06.30.735646</w:t>
      </w:r>
    </w:p>
    <w:p w14:paraId="5B816349">
      <w:pPr>
        <w:pStyle w:val="16"/>
        <w:numPr>
          <w:ilvl w:val="0"/>
          <w:numId w:val="3"/>
        </w:numPr>
        <w:bidi/>
        <w:spacing w:after="80"/>
      </w:pPr>
      <w:r>
        <w:rPr>
          <w:rFonts w:ascii="Arial" w:hAnsi="Arial" w:eastAsia="Arial" w:cs="Arial"/>
          <w:sz w:val="21"/>
          <w:szCs w:val="21"/>
        </w:rPr>
        <w:t>Strande NT, et al. Evaluating the clinical validity of gene–disease associations: an evidence-based framework developed by the Clinical Genome Resource. Am J Hum Genet. 2017;100(6):895–906.</w:t>
      </w:r>
    </w:p>
    <w:p w14:paraId="21BB7C6D">
      <w:pPr>
        <w:pStyle w:val="16"/>
        <w:numPr>
          <w:ilvl w:val="0"/>
          <w:numId w:val="3"/>
        </w:numPr>
        <w:bidi/>
        <w:spacing w:after="80"/>
      </w:pPr>
      <w:r>
        <w:rPr>
          <w:rFonts w:ascii="Arial" w:hAnsi="Arial" w:eastAsia="Arial" w:cs="Arial"/>
          <w:sz w:val="21"/>
          <w:szCs w:val="21"/>
        </w:rPr>
        <w:t>Richards S, et al. Standards and guidelines for the interpretation of sequence variants (ACMG/AMP). Genet Med. 2015;17(5):405–424.</w:t>
      </w:r>
    </w:p>
    <w:p w14:paraId="4E7D6BE5">
      <w:pPr>
        <w:pStyle w:val="16"/>
        <w:numPr>
          <w:ilvl w:val="0"/>
          <w:numId w:val="3"/>
        </w:numPr>
        <w:bidi/>
        <w:spacing w:after="80"/>
      </w:pPr>
      <w:r>
        <w:rPr>
          <w:rFonts w:ascii="Arial" w:hAnsi="Arial" w:eastAsia="Arial" w:cs="Arial"/>
          <w:sz w:val="21"/>
          <w:szCs w:val="21"/>
        </w:rPr>
        <w:t>Kircher M, et al. A general framework for estimating the relative pathogenicity of human genetic variants (CADD). Nat Genet. 2014;46(3):310–315.</w:t>
      </w:r>
    </w:p>
    <w:p w14:paraId="7D77F8D5">
      <w:pPr>
        <w:pStyle w:val="16"/>
        <w:numPr>
          <w:ilvl w:val="0"/>
          <w:numId w:val="3"/>
        </w:numPr>
        <w:bidi/>
        <w:spacing w:after="80"/>
      </w:pPr>
      <w:r>
        <w:rPr>
          <w:rFonts w:ascii="Arial" w:hAnsi="Arial" w:eastAsia="Arial" w:cs="Arial"/>
          <w:sz w:val="21"/>
          <w:szCs w:val="21"/>
        </w:rPr>
        <w:t>Jaganathan K, et al. Predicting splicing from primary sequence with deep learning (SpliceAI). Cell. 2019;176(3):535–548.</w:t>
      </w:r>
    </w:p>
    <w:p w14:paraId="58074E36">
      <w:pPr>
        <w:pStyle w:val="16"/>
        <w:numPr>
          <w:ilvl w:val="0"/>
          <w:numId w:val="3"/>
        </w:numPr>
        <w:bidi/>
        <w:spacing w:after="80"/>
      </w:pPr>
      <w:r>
        <w:rPr>
          <w:rFonts w:ascii="Arial" w:hAnsi="Arial" w:eastAsia="Arial" w:cs="Arial"/>
          <w:sz w:val="21"/>
          <w:szCs w:val="21"/>
        </w:rPr>
        <w:t>Karczewski KJ, et al. The mutational constraint spectrum quantified from variation in 141,456 humans (gnomAD). Nature. 2020;581:434–443.</w:t>
      </w:r>
    </w:p>
    <w:p w14:paraId="3E0B612B">
      <w:pPr>
        <w:pStyle w:val="16"/>
        <w:numPr>
          <w:ilvl w:val="0"/>
          <w:numId w:val="3"/>
        </w:numPr>
        <w:bidi/>
        <w:spacing w:after="80"/>
      </w:pPr>
      <w:r>
        <w:rPr>
          <w:rFonts w:ascii="Arial" w:hAnsi="Arial" w:eastAsia="Arial" w:cs="Arial"/>
          <w:sz w:val="21"/>
          <w:szCs w:val="21"/>
        </w:rPr>
        <w:t>Ioannidis NM, et al. REVEL. Am J Hum Genet. 2016;99(4):877–885.</w:t>
      </w:r>
    </w:p>
    <w:p w14:paraId="16819E07">
      <w:pPr>
        <w:pStyle w:val="16"/>
        <w:numPr>
          <w:ilvl w:val="0"/>
          <w:numId w:val="3"/>
        </w:numPr>
        <w:bidi/>
        <w:spacing w:after="80"/>
      </w:pPr>
      <w:r>
        <w:rPr>
          <w:rFonts w:ascii="Arial" w:hAnsi="Arial" w:eastAsia="Arial" w:cs="Arial"/>
          <w:sz w:val="21"/>
          <w:szCs w:val="21"/>
        </w:rPr>
        <w:t>Cheng J, et al. Accurate proteome-wide missense variant effect prediction with AlphaMissense. Science. 2023;381:eadg7492.</w:t>
      </w:r>
    </w:p>
    <w:p w14:paraId="50D12E2F">
      <w:pPr>
        <w:pStyle w:val="16"/>
        <w:numPr>
          <w:ilvl w:val="0"/>
          <w:numId w:val="3"/>
        </w:numPr>
        <w:bidi/>
        <w:spacing w:after="80"/>
      </w:pPr>
      <w:r>
        <w:rPr>
          <w:rFonts w:ascii="Arial" w:hAnsi="Arial" w:eastAsia="Arial" w:cs="Arial"/>
          <w:sz w:val="21"/>
          <w:szCs w:val="21"/>
        </w:rPr>
        <w:t>Morales J, et al. A joint NCBI and EMBL-EBI transcript set for clinical genomics and research (MANE). Nature. 2022;604:310–315.</w:t>
      </w:r>
    </w:p>
    <w:p w14:paraId="367EA698">
      <w:pPr>
        <w:pStyle w:val="16"/>
        <w:numPr>
          <w:ilvl w:val="0"/>
          <w:numId w:val="3"/>
        </w:numPr>
        <w:bidi/>
        <w:spacing w:after="80"/>
      </w:pPr>
      <w:r>
        <w:rPr>
          <w:rFonts w:ascii="Arial" w:hAnsi="Arial" w:eastAsia="Arial" w:cs="Arial"/>
          <w:sz w:val="21"/>
          <w:szCs w:val="21"/>
        </w:rPr>
        <w:t>GTEx Consortium. The GTEx Consortium atlas of genetic regulatory effects across human tissues. Science. 2020;369:1318–1330.</w:t>
      </w:r>
    </w:p>
    <w:p w14:paraId="26B0A671">
      <w:pPr>
        <w:pStyle w:val="16"/>
        <w:numPr>
          <w:ilvl w:val="0"/>
          <w:numId w:val="3"/>
        </w:numPr>
        <w:bidi/>
        <w:spacing w:after="80"/>
      </w:pPr>
      <w:r>
        <w:rPr>
          <w:rFonts w:ascii="Arial" w:hAnsi="Arial" w:eastAsia="Arial" w:cs="Arial"/>
          <w:sz w:val="21"/>
          <w:szCs w:val="21"/>
        </w:rPr>
        <w:t>Uhlén M, et al. Tissue-based map of the human proteome. Science. 2015;347:1260419.</w:t>
      </w:r>
    </w:p>
    <w:sectPr>
      <w:pgSz w:w="11906" w:h="16838"/>
      <w:pgMar w:top="1300" w:right="1300" w:bottom="13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40" w:hanging="360"/>
      </w:pPr>
    </w:lvl>
  </w:abstractNum>
  <w:abstractNum w:abstractNumId="1">
    <w:nsid w:val="0053208E"/>
    <w:multiLevelType w:val="singleLevel"/>
    <w:tmpl w:val="0053208E"/>
    <w:lvl w:ilvl="0" w:tentative="0">
      <w:start w:val="1"/>
      <w:numFmt w:val="decimal"/>
      <w:lvlText w:val="%1."/>
      <w:lvlJc w:val="left"/>
      <w:pPr>
        <w:ind w:left="540" w:hanging="360"/>
      </w:pPr>
    </w:lvl>
  </w:abstractNum>
  <w:abstractNum w:abstractNumId="2">
    <w:nsid w:val="59ADCABA"/>
    <w:multiLevelType w:val="singleLevel"/>
    <w:tmpl w:val="59ADCABA"/>
    <w:lvl w:ilvl="0" w:tentative="0">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37917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3233</Words>
  <Characters>16971</Characters>
  <TotalTime>5</TotalTime>
  <ScaleCrop>false</ScaleCrop>
  <LinksUpToDate>false</LinksUpToDate>
  <CharactersWithSpaces>20066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2026-10-20T20:29:00Z</dcterms:created>
  <dc:creator>Un-named</dc:creator>
  <cp:lastModifiedBy>Ali Saleh</cp:lastModifiedBy>
  <dcterms:modified xsi:type="dcterms:W3CDTF">2026-10-23T11:28:36Z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eyJoZGlkIjoiNDlmNmE5YTkyNjZlNmI2NDE3MGU1NThiMTIxOTU4ZDkiLCJ1c2VySWQiOiI4ODEzNzQ3MTY3MjYyIn0=</vt:lpwstr>
  </property>
  <property fmtid="{D5CDD505-2E9C-101B-9397-08002B2CF9AE}" pid="3" name="KSOProductBuildVer">
    <vt:lpwstr>1033-12.1.0.29162</vt:lpwstr>
  </property>
  <property fmtid="{D5CDD505-2E9C-101B-9397-08002B2CF9AE}" pid="4" name="ICV">
    <vt:lpwstr>2A8F0F5D93334D8DBCE2038842C02F0D_12</vt:lpwstr>
  </property>
</Properties>
</file>