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8F2DC9" w14:textId="77777777" w:rsidR="002201CF" w:rsidRDefault="00C82B0E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04DC76CD" w14:textId="77777777" w:rsidR="002201CF" w:rsidRDefault="00C82B0E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18C656D7" w14:textId="77777777" w:rsidR="002201CF" w:rsidRDefault="002201CF">
      <w:pPr>
        <w:spacing w:after="0"/>
        <w:jc w:val="center"/>
        <w:rPr>
          <w:b/>
        </w:rPr>
      </w:pPr>
    </w:p>
    <w:tbl>
      <w:tblPr>
        <w:tblStyle w:val="Style15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695"/>
        <w:gridCol w:w="4335"/>
      </w:tblGrid>
      <w:tr w:rsidR="002201CF" w14:paraId="4A616839" w14:textId="77777777">
        <w:tc>
          <w:tcPr>
            <w:tcW w:w="4695" w:type="dxa"/>
          </w:tcPr>
          <w:p w14:paraId="0BFE2AB5" w14:textId="77777777" w:rsidR="002201CF" w:rsidRDefault="00C82B0E">
            <w:pPr>
              <w:spacing w:after="0" w:line="240" w:lineRule="auto"/>
            </w:pPr>
            <w:r>
              <w:t>Date</w:t>
            </w:r>
          </w:p>
        </w:tc>
        <w:tc>
          <w:tcPr>
            <w:tcW w:w="4335" w:type="dxa"/>
          </w:tcPr>
          <w:p w14:paraId="30B928DD" w14:textId="77777777" w:rsidR="002201CF" w:rsidRDefault="00C82B0E">
            <w:pPr>
              <w:spacing w:after="0" w:line="240" w:lineRule="auto"/>
            </w:pPr>
            <w:r>
              <w:t>15 February 2025</w:t>
            </w:r>
          </w:p>
        </w:tc>
      </w:tr>
      <w:tr w:rsidR="002201CF" w14:paraId="660E6A1C" w14:textId="77777777">
        <w:trPr>
          <w:trHeight w:val="364"/>
        </w:trPr>
        <w:tc>
          <w:tcPr>
            <w:tcW w:w="4695" w:type="dxa"/>
          </w:tcPr>
          <w:p w14:paraId="15E8268E" w14:textId="77777777" w:rsidR="00C82B0E" w:rsidRDefault="00C82B0E">
            <w:pPr>
              <w:spacing w:after="0" w:line="240" w:lineRule="auto"/>
              <w:rPr>
                <w:rFonts w:ascii="Arial" w:hAnsi="Arial" w:cs="Arial"/>
              </w:rPr>
            </w:pPr>
          </w:p>
          <w:p w14:paraId="061BD2E2" w14:textId="77777777" w:rsidR="002201CF" w:rsidRDefault="00C82B0E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Team ID</w:t>
            </w:r>
          </w:p>
        </w:tc>
        <w:tc>
          <w:tcPr>
            <w:tcW w:w="4335" w:type="dxa"/>
          </w:tcPr>
          <w:p w14:paraId="7475CB8A" w14:textId="77777777" w:rsidR="002201CF" w:rsidRPr="00C82B0E" w:rsidRDefault="00C82B0E">
            <w:pPr>
              <w:spacing w:after="0" w:line="240" w:lineRule="auto"/>
              <w:rPr>
                <w:rFonts w:ascii="Arial" w:hAnsi="Arial" w:cs="Arial"/>
                <w:sz w:val="40"/>
                <w:szCs w:val="40"/>
              </w:rPr>
            </w:pPr>
            <w:r w:rsidRPr="00C82B0E">
              <w:rPr>
                <w:rFonts w:asciiTheme="minorEastAsia" w:eastAsiaTheme="minorEastAsia" w:hAnsiTheme="minorEastAsia" w:cstheme="minorEastAsia"/>
                <w:color w:val="222222"/>
                <w:sz w:val="40"/>
                <w:szCs w:val="40"/>
                <w:shd w:val="clear" w:color="auto" w:fill="FFFFFF"/>
                <w:vertAlign w:val="subscript"/>
              </w:rPr>
              <w:t>LTVIP2025TMID48532</w:t>
            </w:r>
          </w:p>
        </w:tc>
      </w:tr>
      <w:tr w:rsidR="002201CF" w14:paraId="31F11590" w14:textId="77777777">
        <w:tc>
          <w:tcPr>
            <w:tcW w:w="4695" w:type="dxa"/>
          </w:tcPr>
          <w:p w14:paraId="5209B379" w14:textId="77777777" w:rsidR="002201CF" w:rsidRDefault="00C82B0E">
            <w:pPr>
              <w:spacing w:after="0" w:line="240" w:lineRule="auto"/>
            </w:pPr>
            <w:r>
              <w:t>Project Name</w:t>
            </w:r>
          </w:p>
        </w:tc>
        <w:tc>
          <w:tcPr>
            <w:tcW w:w="4335" w:type="dxa"/>
          </w:tcPr>
          <w:p w14:paraId="59371A19" w14:textId="77777777" w:rsidR="002201CF" w:rsidRDefault="00C82B0E">
            <w:pPr>
              <w:spacing w:after="0" w:line="240" w:lineRule="auto"/>
            </w:pPr>
            <w:r>
              <w:rPr>
                <w:rFonts w:ascii="Arial" w:eastAsia="SimSun" w:hAnsi="Arial" w:cs="Arial"/>
                <w:sz w:val="24"/>
                <w:szCs w:val="24"/>
              </w:rPr>
              <w:t>Measuring the Pulse of Prosperity: An Index of Economic Freedom Analysis</w:t>
            </w:r>
          </w:p>
        </w:tc>
      </w:tr>
      <w:tr w:rsidR="002201CF" w14:paraId="05434F02" w14:textId="77777777">
        <w:tc>
          <w:tcPr>
            <w:tcW w:w="4695" w:type="dxa"/>
          </w:tcPr>
          <w:p w14:paraId="08D4FF0C" w14:textId="77777777" w:rsidR="002201CF" w:rsidRDefault="00C82B0E">
            <w:pPr>
              <w:spacing w:after="0" w:line="240" w:lineRule="auto"/>
            </w:pPr>
            <w:r>
              <w:t>Maximum Marks</w:t>
            </w:r>
          </w:p>
        </w:tc>
        <w:tc>
          <w:tcPr>
            <w:tcW w:w="4335" w:type="dxa"/>
          </w:tcPr>
          <w:p w14:paraId="6E4918A4" w14:textId="77777777" w:rsidR="002201CF" w:rsidRDefault="00C82B0E">
            <w:pPr>
              <w:spacing w:after="0" w:line="240" w:lineRule="auto"/>
            </w:pPr>
            <w:r>
              <w:t>2 Marks</w:t>
            </w:r>
          </w:p>
        </w:tc>
      </w:tr>
    </w:tbl>
    <w:p w14:paraId="023AA3EC" w14:textId="77777777" w:rsidR="002201CF" w:rsidRDefault="002201CF">
      <w:pPr>
        <w:rPr>
          <w:b/>
        </w:rPr>
      </w:pPr>
    </w:p>
    <w:p w14:paraId="1EAF3DF3" w14:textId="77777777" w:rsidR="002201CF" w:rsidRDefault="00C82B0E">
      <w:pPr>
        <w:rPr>
          <w:b/>
        </w:rPr>
      </w:pPr>
      <w:r>
        <w:rPr>
          <w:b/>
        </w:rPr>
        <w:t>Proposed Solution Template:</w:t>
      </w:r>
    </w:p>
    <w:p w14:paraId="43E84302" w14:textId="77777777" w:rsidR="002201CF" w:rsidRDefault="00C82B0E">
      <w:r>
        <w:t xml:space="preserve">Project </w:t>
      </w:r>
      <w:r>
        <w:t>team shall fill the following information in the proposed solution template.</w:t>
      </w:r>
    </w:p>
    <w:tbl>
      <w:tblPr>
        <w:tblStyle w:val="Style16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01"/>
        <w:gridCol w:w="3658"/>
        <w:gridCol w:w="4508"/>
      </w:tblGrid>
      <w:tr w:rsidR="002201CF" w14:paraId="7F27D70F" w14:textId="77777777">
        <w:trPr>
          <w:trHeight w:val="557"/>
        </w:trPr>
        <w:tc>
          <w:tcPr>
            <w:tcW w:w="901" w:type="dxa"/>
          </w:tcPr>
          <w:p w14:paraId="405F8941" w14:textId="77777777" w:rsidR="002201CF" w:rsidRDefault="00C82B0E">
            <w:pPr>
              <w:spacing w:after="0" w:line="240" w:lineRule="auto"/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3658" w:type="dxa"/>
          </w:tcPr>
          <w:p w14:paraId="2C21612D" w14:textId="77777777" w:rsidR="002201CF" w:rsidRDefault="00C82B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14:paraId="1799B7AB" w14:textId="77777777" w:rsidR="002201CF" w:rsidRDefault="00C82B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2201CF" w14:paraId="46D90332" w14:textId="77777777">
        <w:trPr>
          <w:trHeight w:val="817"/>
        </w:trPr>
        <w:tc>
          <w:tcPr>
            <w:tcW w:w="901" w:type="dxa"/>
          </w:tcPr>
          <w:p w14:paraId="367266A4" w14:textId="77777777" w:rsidR="002201CF" w:rsidRDefault="002201CF">
            <w:pPr>
              <w:numPr>
                <w:ilvl w:val="0"/>
                <w:numId w:val="1"/>
              </w:numPr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5DD875B9" w14:textId="77777777" w:rsidR="002201CF" w:rsidRDefault="00C82B0E">
            <w:pPr>
              <w:spacing w:after="0" w:line="240" w:lineRule="auto"/>
            </w:pPr>
            <w:r>
              <w:t>Problem Statement</w:t>
            </w:r>
          </w:p>
        </w:tc>
        <w:tc>
          <w:tcPr>
            <w:tcW w:w="4508" w:type="dxa"/>
          </w:tcPr>
          <w:p w14:paraId="5429135F" w14:textId="77777777" w:rsidR="002201CF" w:rsidRDefault="00C82B0E">
            <w:pPr>
              <w:spacing w:after="0" w:line="240" w:lineRule="auto"/>
            </w:pPr>
            <w:r w:rsidRPr="00C82B0E">
              <w:t xml:space="preserve">There is a noticeable gap in accessible, data-driven tools for </w:t>
            </w:r>
            <w:proofErr w:type="spellStart"/>
            <w:r w:rsidRPr="00C82B0E">
              <w:t>analyzing</w:t>
            </w:r>
            <w:proofErr w:type="spellEnd"/>
            <w:r w:rsidRPr="00C82B0E">
              <w:t xml:space="preserve"> how economic freedom shapes key prosperity indicators—like GDP, literacy rates, and employment. This makes it challenging for policymakers, educators, and researchers to extract actionable insights from available datasets.</w:t>
            </w:r>
          </w:p>
        </w:tc>
      </w:tr>
      <w:tr w:rsidR="002201CF" w14:paraId="6AA0FC06" w14:textId="77777777">
        <w:trPr>
          <w:trHeight w:val="817"/>
        </w:trPr>
        <w:tc>
          <w:tcPr>
            <w:tcW w:w="901" w:type="dxa"/>
          </w:tcPr>
          <w:p w14:paraId="0E5C6D48" w14:textId="77777777" w:rsidR="002201CF" w:rsidRDefault="002201CF">
            <w:pPr>
              <w:numPr>
                <w:ilvl w:val="0"/>
                <w:numId w:val="1"/>
              </w:numPr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0AD92E03" w14:textId="77777777" w:rsidR="002201CF" w:rsidRDefault="00C82B0E">
            <w:pPr>
              <w:spacing w:after="0" w:line="240" w:lineRule="auto"/>
            </w:pPr>
            <w:r>
              <w:rPr>
                <w:color w:val="222222"/>
              </w:rPr>
              <w:t>Proposed Solution</w:t>
            </w:r>
          </w:p>
        </w:tc>
        <w:tc>
          <w:tcPr>
            <w:tcW w:w="4508" w:type="dxa"/>
          </w:tcPr>
          <w:p w14:paraId="48C6EE2C" w14:textId="77777777" w:rsidR="00C82B0E" w:rsidRPr="00C82B0E" w:rsidRDefault="00C82B0E" w:rsidP="00C82B0E">
            <w:pPr>
              <w:spacing w:after="0" w:line="240" w:lineRule="auto"/>
              <w:rPr>
                <w:lang w:val="en-US"/>
              </w:rPr>
            </w:pPr>
            <w:r w:rsidRPr="00C82B0E">
              <w:rPr>
                <w:lang w:val="en-US"/>
              </w:rPr>
              <w:t xml:space="preserve">To bridge this gap, the project introduces an </w:t>
            </w:r>
            <w:r w:rsidRPr="00C82B0E">
              <w:rPr>
                <w:b/>
                <w:bCs/>
                <w:lang w:val="en-US"/>
              </w:rPr>
              <w:t>interactive Tableau dashboard</w:t>
            </w:r>
            <w:r w:rsidRPr="00C82B0E">
              <w:rPr>
                <w:lang w:val="en-US"/>
              </w:rPr>
              <w:t xml:space="preserve"> that visualizes the relationship between economic freedom and national prosperity across countries and timeframes. The dashboard allows users to explore patterns by selecting specific </w:t>
            </w:r>
            <w:r w:rsidRPr="00C82B0E">
              <w:rPr>
                <w:b/>
                <w:bCs/>
                <w:lang w:val="en-US"/>
              </w:rPr>
              <w:t>countries, indicators, and years</w:t>
            </w:r>
            <w:r w:rsidRPr="00C82B0E">
              <w:rPr>
                <w:lang w:val="en-US"/>
              </w:rPr>
              <w:t>, making complex data intuitive and interactive.</w:t>
            </w:r>
          </w:p>
          <w:p w14:paraId="12ABF9F6" w14:textId="77777777" w:rsidR="002201CF" w:rsidRDefault="002201CF">
            <w:pPr>
              <w:spacing w:after="0" w:line="240" w:lineRule="auto"/>
            </w:pPr>
          </w:p>
        </w:tc>
      </w:tr>
      <w:tr w:rsidR="002201CF" w14:paraId="011283A6" w14:textId="77777777">
        <w:trPr>
          <w:trHeight w:val="787"/>
        </w:trPr>
        <w:tc>
          <w:tcPr>
            <w:tcW w:w="901" w:type="dxa"/>
          </w:tcPr>
          <w:p w14:paraId="3CF17215" w14:textId="77777777" w:rsidR="002201CF" w:rsidRDefault="002201CF">
            <w:pPr>
              <w:numPr>
                <w:ilvl w:val="0"/>
                <w:numId w:val="1"/>
              </w:numPr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15B26BCB" w14:textId="77777777" w:rsidR="002201CF" w:rsidRDefault="00C82B0E">
            <w:pPr>
              <w:spacing w:after="0" w:line="240" w:lineRule="auto"/>
            </w:pPr>
            <w:r>
              <w:rPr>
                <w:color w:val="222222"/>
              </w:rPr>
              <w:t>Innovation and Uniqueness</w:t>
            </w:r>
          </w:p>
        </w:tc>
        <w:tc>
          <w:tcPr>
            <w:tcW w:w="4508" w:type="dxa"/>
          </w:tcPr>
          <w:p w14:paraId="78DE0E41" w14:textId="77777777" w:rsidR="00C82B0E" w:rsidRPr="00C82B0E" w:rsidRDefault="00C82B0E" w:rsidP="00C82B0E">
            <w:pPr>
              <w:spacing w:after="0" w:line="240" w:lineRule="auto"/>
              <w:rPr>
                <w:lang w:val="en-US"/>
              </w:rPr>
            </w:pPr>
            <w:r w:rsidRPr="00C82B0E">
              <w:rPr>
                <w:lang w:val="en-US"/>
              </w:rPr>
              <w:t>Unlike static reports or spreadsheets, this solution:</w:t>
            </w:r>
          </w:p>
          <w:p w14:paraId="79D5C6B3" w14:textId="77777777" w:rsidR="00C82B0E" w:rsidRPr="00C82B0E" w:rsidRDefault="00C82B0E" w:rsidP="00C82B0E">
            <w:pPr>
              <w:numPr>
                <w:ilvl w:val="0"/>
                <w:numId w:val="2"/>
              </w:numPr>
              <w:spacing w:after="0" w:line="240" w:lineRule="auto"/>
              <w:rPr>
                <w:lang w:val="en-US"/>
              </w:rPr>
            </w:pPr>
            <w:r w:rsidRPr="00C82B0E">
              <w:rPr>
                <w:lang w:val="en-US"/>
              </w:rPr>
              <w:t xml:space="preserve">Combines </w:t>
            </w:r>
            <w:r w:rsidRPr="00C82B0E">
              <w:rPr>
                <w:b/>
                <w:bCs/>
                <w:lang w:val="en-US"/>
              </w:rPr>
              <w:t>multiple global datasets</w:t>
            </w:r>
            <w:r w:rsidRPr="00C82B0E">
              <w:rPr>
                <w:lang w:val="en-US"/>
              </w:rPr>
              <w:t xml:space="preserve"> for richer analysis.</w:t>
            </w:r>
          </w:p>
          <w:p w14:paraId="1934C13B" w14:textId="77777777" w:rsidR="00C82B0E" w:rsidRPr="00C82B0E" w:rsidRDefault="00C82B0E" w:rsidP="00C82B0E">
            <w:pPr>
              <w:numPr>
                <w:ilvl w:val="0"/>
                <w:numId w:val="2"/>
              </w:numPr>
              <w:spacing w:after="0" w:line="240" w:lineRule="auto"/>
              <w:rPr>
                <w:lang w:val="en-US"/>
              </w:rPr>
            </w:pPr>
            <w:r w:rsidRPr="00C82B0E">
              <w:rPr>
                <w:lang w:val="en-US"/>
              </w:rPr>
              <w:t xml:space="preserve">Translates dense data into </w:t>
            </w:r>
            <w:r w:rsidRPr="00C82B0E">
              <w:rPr>
                <w:b/>
                <w:bCs/>
                <w:lang w:val="en-US"/>
              </w:rPr>
              <w:t>dynamic visual insights</w:t>
            </w:r>
            <w:r w:rsidRPr="00C82B0E">
              <w:rPr>
                <w:lang w:val="en-US"/>
              </w:rPr>
              <w:t>.</w:t>
            </w:r>
          </w:p>
          <w:p w14:paraId="17E5C62F" w14:textId="77777777" w:rsidR="00C82B0E" w:rsidRPr="00C82B0E" w:rsidRDefault="00C82B0E" w:rsidP="00C82B0E">
            <w:pPr>
              <w:numPr>
                <w:ilvl w:val="0"/>
                <w:numId w:val="2"/>
              </w:numPr>
              <w:spacing w:after="0" w:line="240" w:lineRule="auto"/>
              <w:rPr>
                <w:lang w:val="en-US"/>
              </w:rPr>
            </w:pPr>
            <w:r w:rsidRPr="00C82B0E">
              <w:rPr>
                <w:lang w:val="en-US"/>
              </w:rPr>
              <w:t xml:space="preserve">Offers a </w:t>
            </w:r>
            <w:r w:rsidRPr="00C82B0E">
              <w:rPr>
                <w:b/>
                <w:bCs/>
                <w:lang w:val="en-US"/>
              </w:rPr>
              <w:t>user-friendly experience</w:t>
            </w:r>
            <w:r w:rsidRPr="00C82B0E">
              <w:rPr>
                <w:lang w:val="en-US"/>
              </w:rPr>
              <w:t xml:space="preserve"> designed for both technical and non-technical audiences.</w:t>
            </w:r>
          </w:p>
          <w:p w14:paraId="64F0B311" w14:textId="77777777" w:rsidR="002201CF" w:rsidRDefault="002201CF">
            <w:pPr>
              <w:spacing w:after="0" w:line="240" w:lineRule="auto"/>
            </w:pPr>
          </w:p>
        </w:tc>
      </w:tr>
      <w:tr w:rsidR="002201CF" w14:paraId="57B5FED5" w14:textId="77777777">
        <w:trPr>
          <w:trHeight w:val="817"/>
        </w:trPr>
        <w:tc>
          <w:tcPr>
            <w:tcW w:w="901" w:type="dxa"/>
          </w:tcPr>
          <w:p w14:paraId="3E511D12" w14:textId="77777777" w:rsidR="002201CF" w:rsidRDefault="002201CF">
            <w:pPr>
              <w:numPr>
                <w:ilvl w:val="0"/>
                <w:numId w:val="1"/>
              </w:numPr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48D503FF" w14:textId="77777777" w:rsidR="002201CF" w:rsidRDefault="00C82B0E">
            <w:pPr>
              <w:spacing w:after="0" w:line="240" w:lineRule="auto"/>
            </w:pPr>
            <w:r>
              <w:rPr>
                <w:color w:val="222222"/>
              </w:rPr>
              <w:t xml:space="preserve">Social Impact </w:t>
            </w:r>
          </w:p>
        </w:tc>
        <w:tc>
          <w:tcPr>
            <w:tcW w:w="4508" w:type="dxa"/>
          </w:tcPr>
          <w:p w14:paraId="2F072561" w14:textId="77777777" w:rsidR="00C82B0E" w:rsidRPr="00C82B0E" w:rsidRDefault="00C82B0E" w:rsidP="00C82B0E">
            <w:pPr>
              <w:spacing w:after="0" w:line="240" w:lineRule="auto"/>
              <w:rPr>
                <w:lang w:val="en-US"/>
              </w:rPr>
            </w:pPr>
            <w:r w:rsidRPr="00C82B0E">
              <w:rPr>
                <w:lang w:val="en-US"/>
              </w:rPr>
              <w:t>This dashboard empowers:</w:t>
            </w:r>
          </w:p>
          <w:p w14:paraId="4031C89D" w14:textId="77777777" w:rsidR="00C82B0E" w:rsidRPr="00C82B0E" w:rsidRDefault="00C82B0E" w:rsidP="00C82B0E">
            <w:pPr>
              <w:numPr>
                <w:ilvl w:val="0"/>
                <w:numId w:val="3"/>
              </w:numPr>
              <w:spacing w:after="0" w:line="240" w:lineRule="auto"/>
              <w:rPr>
                <w:lang w:val="en-US"/>
              </w:rPr>
            </w:pPr>
            <w:r w:rsidRPr="00C82B0E">
              <w:rPr>
                <w:b/>
                <w:bCs/>
                <w:lang w:val="en-US"/>
              </w:rPr>
              <w:t>Citizens</w:t>
            </w:r>
            <w:r w:rsidRPr="00C82B0E">
              <w:rPr>
                <w:lang w:val="en-US"/>
              </w:rPr>
              <w:t xml:space="preserve"> with transparent insights into national policies,</w:t>
            </w:r>
          </w:p>
          <w:p w14:paraId="50EA08B9" w14:textId="77777777" w:rsidR="00C82B0E" w:rsidRPr="00C82B0E" w:rsidRDefault="00C82B0E" w:rsidP="00C82B0E">
            <w:pPr>
              <w:numPr>
                <w:ilvl w:val="0"/>
                <w:numId w:val="3"/>
              </w:numPr>
              <w:spacing w:after="0" w:line="240" w:lineRule="auto"/>
              <w:rPr>
                <w:lang w:val="en-US"/>
              </w:rPr>
            </w:pPr>
            <w:r w:rsidRPr="00C82B0E">
              <w:rPr>
                <w:b/>
                <w:bCs/>
                <w:lang w:val="en-US"/>
              </w:rPr>
              <w:t>Students</w:t>
            </w:r>
            <w:r w:rsidRPr="00C82B0E">
              <w:rPr>
                <w:lang w:val="en-US"/>
              </w:rPr>
              <w:t xml:space="preserve"> with a hands-on learning tool, and</w:t>
            </w:r>
          </w:p>
          <w:p w14:paraId="3D5D8B4E" w14:textId="77777777" w:rsidR="00C82B0E" w:rsidRPr="00C82B0E" w:rsidRDefault="00C82B0E" w:rsidP="00C82B0E">
            <w:pPr>
              <w:numPr>
                <w:ilvl w:val="0"/>
                <w:numId w:val="3"/>
              </w:numPr>
              <w:spacing w:after="0" w:line="240" w:lineRule="auto"/>
              <w:rPr>
                <w:lang w:val="en-US"/>
              </w:rPr>
            </w:pPr>
            <w:r w:rsidRPr="00C82B0E">
              <w:rPr>
                <w:b/>
                <w:bCs/>
                <w:lang w:val="en-US"/>
              </w:rPr>
              <w:t>Policymakers</w:t>
            </w:r>
            <w:r w:rsidRPr="00C82B0E">
              <w:rPr>
                <w:lang w:val="en-US"/>
              </w:rPr>
              <w:t xml:space="preserve"> with evidence to guide reforms.</w:t>
            </w:r>
          </w:p>
          <w:p w14:paraId="48B610F8" w14:textId="77777777" w:rsidR="00C82B0E" w:rsidRPr="00C82B0E" w:rsidRDefault="00C82B0E" w:rsidP="00C82B0E">
            <w:pPr>
              <w:spacing w:after="0" w:line="240" w:lineRule="auto"/>
              <w:rPr>
                <w:lang w:val="en-US"/>
              </w:rPr>
            </w:pPr>
            <w:r w:rsidRPr="00C82B0E">
              <w:rPr>
                <w:lang w:val="en-US"/>
              </w:rPr>
              <w:t xml:space="preserve">It promotes </w:t>
            </w:r>
            <w:r w:rsidRPr="00C82B0E">
              <w:rPr>
                <w:b/>
                <w:bCs/>
                <w:lang w:val="en-US"/>
              </w:rPr>
              <w:t>data democratization</w:t>
            </w:r>
            <w:r w:rsidRPr="00C82B0E">
              <w:rPr>
                <w:lang w:val="en-US"/>
              </w:rPr>
              <w:t>, turning numbers into narratives for a better-informed society.</w:t>
            </w:r>
          </w:p>
          <w:p w14:paraId="0BB5C793" w14:textId="77777777" w:rsidR="002201CF" w:rsidRDefault="002201CF">
            <w:pPr>
              <w:spacing w:after="0" w:line="240" w:lineRule="auto"/>
            </w:pPr>
          </w:p>
        </w:tc>
      </w:tr>
      <w:tr w:rsidR="002201CF" w14:paraId="049B443F" w14:textId="77777777">
        <w:trPr>
          <w:trHeight w:val="817"/>
        </w:trPr>
        <w:tc>
          <w:tcPr>
            <w:tcW w:w="901" w:type="dxa"/>
          </w:tcPr>
          <w:p w14:paraId="7BFE2690" w14:textId="77777777" w:rsidR="002201CF" w:rsidRDefault="002201CF">
            <w:pPr>
              <w:numPr>
                <w:ilvl w:val="0"/>
                <w:numId w:val="1"/>
              </w:numPr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601A65CF" w14:textId="77777777" w:rsidR="002201CF" w:rsidRDefault="00C82B0E">
            <w:pPr>
              <w:spacing w:after="0" w:line="240" w:lineRule="auto"/>
            </w:pPr>
            <w:r>
              <w:rPr>
                <w:color w:val="222222"/>
              </w:rPr>
              <w:t xml:space="preserve">Business Model </w:t>
            </w:r>
          </w:p>
        </w:tc>
        <w:tc>
          <w:tcPr>
            <w:tcW w:w="4508" w:type="dxa"/>
          </w:tcPr>
          <w:p w14:paraId="6FC0AE02" w14:textId="77777777" w:rsidR="00C82B0E" w:rsidRPr="00C82B0E" w:rsidRDefault="00C82B0E" w:rsidP="00C82B0E">
            <w:pPr>
              <w:spacing w:after="0" w:line="240" w:lineRule="auto"/>
              <w:rPr>
                <w:lang w:val="en-US"/>
              </w:rPr>
            </w:pPr>
            <w:r w:rsidRPr="00C82B0E">
              <w:rPr>
                <w:lang w:val="en-US"/>
              </w:rPr>
              <w:t xml:space="preserve">Initially shared as an </w:t>
            </w:r>
            <w:r w:rsidRPr="00C82B0E">
              <w:rPr>
                <w:b/>
                <w:bCs/>
                <w:lang w:val="en-US"/>
              </w:rPr>
              <w:t>open-access tool on Tableau Public</w:t>
            </w:r>
            <w:r w:rsidRPr="00C82B0E">
              <w:rPr>
                <w:lang w:val="en-US"/>
              </w:rPr>
              <w:t>, the project has commercial potential. It could be tailored for use by:</w:t>
            </w:r>
          </w:p>
          <w:p w14:paraId="4DE06D93" w14:textId="77777777" w:rsidR="00C82B0E" w:rsidRPr="00C82B0E" w:rsidRDefault="00C82B0E" w:rsidP="00C82B0E">
            <w:pPr>
              <w:numPr>
                <w:ilvl w:val="0"/>
                <w:numId w:val="4"/>
              </w:numPr>
              <w:spacing w:after="0" w:line="240" w:lineRule="auto"/>
              <w:rPr>
                <w:lang w:val="en-US"/>
              </w:rPr>
            </w:pPr>
            <w:r w:rsidRPr="00C82B0E">
              <w:rPr>
                <w:lang w:val="en-US"/>
              </w:rPr>
              <w:t>Think tanks,</w:t>
            </w:r>
          </w:p>
          <w:p w14:paraId="35D87B24" w14:textId="77777777" w:rsidR="00C82B0E" w:rsidRPr="00C82B0E" w:rsidRDefault="00C82B0E" w:rsidP="00C82B0E">
            <w:pPr>
              <w:numPr>
                <w:ilvl w:val="0"/>
                <w:numId w:val="4"/>
              </w:numPr>
              <w:spacing w:after="0" w:line="240" w:lineRule="auto"/>
              <w:rPr>
                <w:lang w:val="en-US"/>
              </w:rPr>
            </w:pPr>
            <w:r w:rsidRPr="00C82B0E">
              <w:rPr>
                <w:lang w:val="en-US"/>
              </w:rPr>
              <w:t>Research organizations, and</w:t>
            </w:r>
          </w:p>
          <w:p w14:paraId="4CF8ECA5" w14:textId="77777777" w:rsidR="002201CF" w:rsidRPr="00C82B0E" w:rsidRDefault="00C82B0E" w:rsidP="00C82B0E">
            <w:pPr>
              <w:numPr>
                <w:ilvl w:val="0"/>
                <w:numId w:val="4"/>
              </w:numPr>
              <w:spacing w:after="0" w:line="240" w:lineRule="auto"/>
              <w:rPr>
                <w:lang w:val="en-US"/>
              </w:rPr>
            </w:pPr>
            <w:r w:rsidRPr="00C82B0E">
              <w:rPr>
                <w:lang w:val="en-US"/>
              </w:rPr>
              <w:t>Academic institutions</w:t>
            </w:r>
            <w:r w:rsidRPr="00C82B0E">
              <w:rPr>
                <w:lang w:val="en-US"/>
              </w:rPr>
              <w:br/>
              <w:t>through specialized versions, data customization, or training services.</w:t>
            </w:r>
          </w:p>
        </w:tc>
      </w:tr>
      <w:tr w:rsidR="002201CF" w14:paraId="2D67B07D" w14:textId="77777777">
        <w:trPr>
          <w:trHeight w:val="817"/>
        </w:trPr>
        <w:tc>
          <w:tcPr>
            <w:tcW w:w="901" w:type="dxa"/>
          </w:tcPr>
          <w:p w14:paraId="5395D13E" w14:textId="77777777" w:rsidR="002201CF" w:rsidRDefault="002201CF">
            <w:pPr>
              <w:numPr>
                <w:ilvl w:val="0"/>
                <w:numId w:val="1"/>
              </w:numPr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358925BE" w14:textId="77777777" w:rsidR="002201CF" w:rsidRDefault="00C82B0E">
            <w:pPr>
              <w:spacing w:after="0" w:line="240" w:lineRule="auto"/>
              <w:rPr>
                <w:color w:val="222222"/>
              </w:rPr>
            </w:pPr>
            <w:r>
              <w:rPr>
                <w:color w:val="222222"/>
              </w:rPr>
              <w:t xml:space="preserve">Scalability </w:t>
            </w:r>
          </w:p>
        </w:tc>
        <w:tc>
          <w:tcPr>
            <w:tcW w:w="4508" w:type="dxa"/>
          </w:tcPr>
          <w:p w14:paraId="6979CB47" w14:textId="77777777" w:rsidR="00C82B0E" w:rsidRPr="00C82B0E" w:rsidRDefault="00C82B0E" w:rsidP="00C82B0E">
            <w:pPr>
              <w:spacing w:after="0" w:line="240" w:lineRule="auto"/>
              <w:rPr>
                <w:lang w:val="en-US"/>
              </w:rPr>
            </w:pPr>
            <w:r w:rsidRPr="00C82B0E">
              <w:rPr>
                <w:lang w:val="en-US"/>
              </w:rPr>
              <w:t>The platform is designed to evolve—ready to integrate:</w:t>
            </w:r>
          </w:p>
          <w:p w14:paraId="00785A28" w14:textId="77777777" w:rsidR="00C82B0E" w:rsidRPr="00C82B0E" w:rsidRDefault="00C82B0E" w:rsidP="00C82B0E">
            <w:pPr>
              <w:numPr>
                <w:ilvl w:val="0"/>
                <w:numId w:val="5"/>
              </w:numPr>
              <w:spacing w:after="0" w:line="240" w:lineRule="auto"/>
              <w:rPr>
                <w:lang w:val="en-US"/>
              </w:rPr>
            </w:pPr>
            <w:r w:rsidRPr="00C82B0E">
              <w:rPr>
                <w:lang w:val="en-US"/>
              </w:rPr>
              <w:t>More countries and time periods,</w:t>
            </w:r>
          </w:p>
          <w:p w14:paraId="24277192" w14:textId="77777777" w:rsidR="00C82B0E" w:rsidRPr="00C82B0E" w:rsidRDefault="00C82B0E" w:rsidP="00C82B0E">
            <w:pPr>
              <w:numPr>
                <w:ilvl w:val="0"/>
                <w:numId w:val="5"/>
              </w:numPr>
              <w:spacing w:after="0" w:line="240" w:lineRule="auto"/>
              <w:rPr>
                <w:lang w:val="en-US"/>
              </w:rPr>
            </w:pPr>
            <w:r w:rsidRPr="00C82B0E">
              <w:rPr>
                <w:lang w:val="en-US"/>
              </w:rPr>
              <w:t>New economic or social indicators,</w:t>
            </w:r>
          </w:p>
          <w:p w14:paraId="183CBAFF" w14:textId="77777777" w:rsidR="00C82B0E" w:rsidRPr="00C82B0E" w:rsidRDefault="00C82B0E" w:rsidP="00C82B0E">
            <w:pPr>
              <w:numPr>
                <w:ilvl w:val="0"/>
                <w:numId w:val="5"/>
              </w:numPr>
              <w:spacing w:after="0" w:line="240" w:lineRule="auto"/>
              <w:rPr>
                <w:lang w:val="en-US"/>
              </w:rPr>
            </w:pPr>
            <w:r w:rsidRPr="00C82B0E">
              <w:rPr>
                <w:lang w:val="en-US"/>
              </w:rPr>
              <w:t>Real-time data streams, or</w:t>
            </w:r>
          </w:p>
          <w:p w14:paraId="6CDE7627" w14:textId="77777777" w:rsidR="002201CF" w:rsidRPr="00C82B0E" w:rsidRDefault="00C82B0E" w:rsidP="00C82B0E">
            <w:pPr>
              <w:numPr>
                <w:ilvl w:val="0"/>
                <w:numId w:val="5"/>
              </w:numPr>
              <w:spacing w:after="0" w:line="240" w:lineRule="auto"/>
              <w:rPr>
                <w:lang w:val="en-US"/>
              </w:rPr>
            </w:pPr>
            <w:r w:rsidRPr="00C82B0E">
              <w:rPr>
                <w:lang w:val="en-US"/>
              </w:rPr>
              <w:t>Embedding into existing websites and apps.</w:t>
            </w:r>
          </w:p>
        </w:tc>
      </w:tr>
    </w:tbl>
    <w:p w14:paraId="7DEA8672" w14:textId="77777777" w:rsidR="002201CF" w:rsidRDefault="002201CF"/>
    <w:sectPr w:rsidR="002201CF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5F5A73" w14:textId="77777777" w:rsidR="002201CF" w:rsidRDefault="00C82B0E">
      <w:pPr>
        <w:spacing w:line="240" w:lineRule="auto"/>
      </w:pPr>
      <w:r>
        <w:separator/>
      </w:r>
    </w:p>
  </w:endnote>
  <w:endnote w:type="continuationSeparator" w:id="0">
    <w:p w14:paraId="003AF8B0" w14:textId="77777777" w:rsidR="002201CF" w:rsidRDefault="00C82B0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altName w:val="Segoe Print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287857" w14:textId="77777777" w:rsidR="002201CF" w:rsidRDefault="00C82B0E">
      <w:pPr>
        <w:spacing w:after="0"/>
      </w:pPr>
      <w:r>
        <w:separator/>
      </w:r>
    </w:p>
  </w:footnote>
  <w:footnote w:type="continuationSeparator" w:id="0">
    <w:p w14:paraId="4661E3E1" w14:textId="77777777" w:rsidR="002201CF" w:rsidRDefault="00C82B0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822EAE"/>
    <w:multiLevelType w:val="multilevel"/>
    <w:tmpl w:val="1F6CB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3C0290"/>
    <w:multiLevelType w:val="multilevel"/>
    <w:tmpl w:val="1D860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BD0C05"/>
    <w:multiLevelType w:val="multilevel"/>
    <w:tmpl w:val="B05E8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A62ACD"/>
    <w:multiLevelType w:val="multilevel"/>
    <w:tmpl w:val="2FA62ACD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3B032BC1"/>
    <w:multiLevelType w:val="multilevel"/>
    <w:tmpl w:val="AC502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8923628">
    <w:abstractNumId w:val="3"/>
  </w:num>
  <w:num w:numId="2" w16cid:durableId="56049104">
    <w:abstractNumId w:val="0"/>
  </w:num>
  <w:num w:numId="3" w16cid:durableId="662666444">
    <w:abstractNumId w:val="2"/>
  </w:num>
  <w:num w:numId="4" w16cid:durableId="1572814110">
    <w:abstractNumId w:val="1"/>
  </w:num>
  <w:num w:numId="5" w16cid:durableId="13317125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4E29"/>
    <w:rsid w:val="002201CF"/>
    <w:rsid w:val="00350B1D"/>
    <w:rsid w:val="00604E29"/>
    <w:rsid w:val="008548BA"/>
    <w:rsid w:val="00C27B72"/>
    <w:rsid w:val="00C82B0E"/>
    <w:rsid w:val="00D90E76"/>
    <w:rsid w:val="3ADD624C"/>
    <w:rsid w:val="53BF7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87230"/>
  <w15:docId w15:val="{0554C6D6-0368-4E16-9E72-5F48DD52C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sz w:val="22"/>
      <w:szCs w:val="22"/>
      <w:lang w:val="en-IN" w:eastAsia="en-I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customStyle="1" w:styleId="Style15">
    <w:name w:val="_Style 15"/>
    <w:basedOn w:val="TableNormal"/>
    <w:tblPr/>
  </w:style>
  <w:style w:type="table" w:customStyle="1" w:styleId="Style16">
    <w:name w:val="_Style 16"/>
    <w:basedOn w:val="TableNormal"/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27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8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1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86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8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9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7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7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9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GG+Fu5Ye/nQ4awTttIbIhh3S0IA==">AMUW2mUD80Lm9wqn/kYtLX4Q6GNPS/u/Z1dbrS8tx7/C2pmzJnsFrnYaldB5nel0hVpWCs5/1QBVvrP6M6cvdBsvKNyg0y/0x9taeLtv4vARolNZiDh0HGw=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312</Words>
  <Characters>1781</Characters>
  <Application>Microsoft Office Word</Application>
  <DocSecurity>0</DocSecurity>
  <Lines>14</Lines>
  <Paragraphs>4</Paragraphs>
  <ScaleCrop>false</ScaleCrop>
  <Company/>
  <LinksUpToDate>false</LinksUpToDate>
  <CharactersWithSpaces>2089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Tharugu Sreelakshmi</cp:lastModifiedBy>
  <cp:revision>2</cp:revision>
  <dcterms:created xsi:type="dcterms:W3CDTF">2025-06-28T09:59:00Z</dcterms:created>
  <dcterms:modified xsi:type="dcterms:W3CDTF">2025-06-28T09:59:00Z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2057-12.2.0.21183</vt:lpwstr>
  </property>
  <property fmtid="{D5CDD505-2E9C-101B-9397-08002B2CF9AE}" pid="3" name="ICV">
    <vt:lpwstr>E4FA5BD98421463EB358DFF18DA492FE_13</vt:lpwstr>
  </property>
</Properties>
</file>