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7DE57" w14:textId="3601B63D" w:rsidR="00764579" w:rsidRDefault="00764579" w:rsidP="0076457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</w:t>
      </w:r>
      <w:r w:rsidRPr="00DB35C4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Big Data </w:t>
      </w:r>
    </w:p>
    <w:p w14:paraId="10F3A56A" w14:textId="7CB3B5FF" w:rsidR="00764579" w:rsidRDefault="00764579" w:rsidP="0076457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        </w:t>
      </w:r>
      <w:r w:rsidRPr="00A9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3</w:t>
      </w:r>
    </w:p>
    <w:p w14:paraId="6E1D8B41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A925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925D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Analyzing Deeply Nested and Semi-Structured JSON Data Using Apache Drill</w:t>
      </w:r>
    </w:p>
    <w:p w14:paraId="7E741BD8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t>Dataset Overview</w:t>
      </w:r>
    </w:p>
    <w:p w14:paraId="475D2893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sz w:val="24"/>
          <w:szCs w:val="24"/>
        </w:rPr>
        <w:t>The provided dataset consists of two complex, nested JSON orders (</w:t>
      </w:r>
      <w:proofErr w:type="spellStart"/>
      <w:r w:rsidRPr="00A925DB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1001 and 1002). Apache Drill was used in embedded mode to query the JSON data directly without defining a schema upfront, leveraging its schema-on-read capability. Queries utilized flattening of arrays (using FLATTEN), navigation of nested structures with dot notation, and aggregations with GROUP BY.</w:t>
      </w:r>
    </w:p>
    <w:p w14:paraId="5BEA7A06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sz w:val="24"/>
          <w:szCs w:val="24"/>
        </w:rPr>
        <w:t>All queries were executed on the JSON array treated as a table (e.g., via DFS storage plugin or direct JSON file reference).</w:t>
      </w:r>
    </w:p>
    <w:p w14:paraId="4D58243A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25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Set </w:t>
      </w:r>
      <w:proofErr w:type="gramStart"/>
      <w:r w:rsidRPr="00A925DB">
        <w:rPr>
          <w:rFonts w:ascii="Times New Roman" w:eastAsia="Times New Roman" w:hAnsi="Times New Roman" w:cs="Times New Roman"/>
          <w:b/>
          <w:bCs/>
          <w:sz w:val="28"/>
          <w:szCs w:val="28"/>
        </w:rPr>
        <w:t>Up :</w:t>
      </w:r>
      <w:proofErr w:type="gramEnd"/>
    </w:p>
    <w:p w14:paraId="49729C10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90BA19" wp14:editId="02402395">
            <wp:extent cx="5943600" cy="2621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E73B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A1C994" wp14:editId="66BF2F09">
            <wp:extent cx="5943600" cy="26676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9EF8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7C5398" wp14:editId="6F9FDA90">
            <wp:extent cx="5943600" cy="26466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7672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90B92D" wp14:editId="651CDEB8">
            <wp:extent cx="5943600" cy="2654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D1E6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991DD9" wp14:editId="501AE1FA">
            <wp:extent cx="5943600" cy="2664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4044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t>Q1. Revenue &amp; Discounts Analysis</w:t>
      </w:r>
    </w:p>
    <w:p w14:paraId="6F1A5721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Calculate total gross revenue (qty × price before discounts), total discount amount (sum of item-level discounts applied per unit), and net revenue per order.</w:t>
      </w:r>
    </w:p>
    <w:p w14:paraId="608D7284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Apache Drill Query:</w:t>
      </w:r>
    </w:p>
    <w:p w14:paraId="2D6F1097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5C0CFC" wp14:editId="106AFF3C">
            <wp:extent cx="5943600" cy="3197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3425" w14:textId="77777777" w:rsidR="00764579" w:rsidRPr="00A925DB" w:rsidRDefault="00764579" w:rsidP="0076457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C92743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09F41B8C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CE528C" wp14:editId="4D41B613">
            <wp:extent cx="5943600" cy="3191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740B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Insights: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Order 1001 benefited from seasonal and loyalty discounts totaling $16, reducing net revenue accordingly.</w:t>
      </w:r>
    </w:p>
    <w:p w14:paraId="225DADF4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E7291A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Customer Segmentation Performance</w:t>
      </w:r>
    </w:p>
    <w:p w14:paraId="0520C4E2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For each customer segment, compute total orders, average order value (using payment amount), and average feedback rating.</w:t>
      </w:r>
    </w:p>
    <w:p w14:paraId="552DBE15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Apache Drill Query:</w:t>
      </w:r>
    </w:p>
    <w:p w14:paraId="56E21D5E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F2E26C" wp14:editId="3CE53C2D">
            <wp:extent cx="5943600" cy="318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503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419A6337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425666" wp14:editId="28F96EE8">
            <wp:extent cx="5943600" cy="3201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07A0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Insights: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PREMIUM segment shows higher order value and better feedback in this small dataset.</w:t>
      </w:r>
    </w:p>
    <w:p w14:paraId="6C7A6C60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t>Q3. Supplier &amp; Country Risk Analysis</w:t>
      </w:r>
    </w:p>
    <w:p w14:paraId="2F9C8441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Identify suppliers where average actual delivery days exceed expected, with supplier ID, country, and average delay.</w:t>
      </w:r>
    </w:p>
    <w:p w14:paraId="228A8250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Apache Drill Query:</w:t>
      </w:r>
    </w:p>
    <w:p w14:paraId="36B60297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208AAF" wp14:editId="6F750B3A">
            <wp:extent cx="5943600" cy="3179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384A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0E125C22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3C9DFD" wp14:editId="4885DEBB">
            <wp:extent cx="5943600" cy="3197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3188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Insights: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Only SUP-20 shows delivery risk with a 2-day average delay; others (SUP-10, SUP-11) were on time.</w:t>
      </w:r>
    </w:p>
    <w:p w14:paraId="522A1C8D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t>Q4. Returns &amp; Refund Insights</w:t>
      </w:r>
    </w:p>
    <w:p w14:paraId="349627AA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Return rate per category (returned qty / sold qty × 100), total refund per category, and most common return reason overall.</w:t>
      </w:r>
    </w:p>
    <w:p w14:paraId="7F7C6172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Drill </w:t>
      </w:r>
      <w:proofErr w:type="gramStart"/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</w:p>
    <w:p w14:paraId="61B3578F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BE9475" wp14:editId="74523540">
            <wp:extent cx="5943600" cy="3185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009C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17AB3D96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D1D5E8" wp14:editId="5D07F048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5FF6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Overall</w:t>
      </w:r>
      <w:proofErr w:type="gramEnd"/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most common return reason: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DAMAGED</w:t>
      </w:r>
    </w:p>
    <w:p w14:paraId="357C2A3F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Insights: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Grocery category has the highest return rate due to damage in one order.</w:t>
      </w:r>
    </w:p>
    <w:p w14:paraId="776D9078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t>Q5. Operational &amp; System Metrics</w:t>
      </w:r>
    </w:p>
    <w:p w14:paraId="414C46C7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By source (</w:t>
      </w:r>
      <w:proofErr w:type="spellStart"/>
      <w:r w:rsidRPr="00A925DB">
        <w:rPr>
          <w:rFonts w:ascii="Times New Roman" w:eastAsia="Times New Roman" w:hAnsi="Times New Roman" w:cs="Times New Roman"/>
          <w:sz w:val="24"/>
          <w:szCs w:val="24"/>
        </w:rPr>
        <w:t>mobile_app</w:t>
      </w:r>
      <w:proofErr w:type="spellEnd"/>
      <w:r w:rsidRPr="00A925DB">
        <w:rPr>
          <w:rFonts w:ascii="Times New Roman" w:eastAsia="Times New Roman" w:hAnsi="Times New Roman" w:cs="Times New Roman"/>
          <w:sz w:val="24"/>
          <w:szCs w:val="24"/>
        </w:rPr>
        <w:t>, web): average ingestion time, count of orders with validation errors; overall percentage of late deliveries.</w:t>
      </w:r>
    </w:p>
    <w:p w14:paraId="26440B73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99F38B" wp14:editId="7120D8DC">
            <wp:extent cx="5943600" cy="31915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F560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0D18FF" w14:textId="77777777" w:rsidR="00764579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14:paraId="6584E685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2C6710" wp14:editId="067A7D19">
            <wp:extent cx="5943600" cy="3191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6E22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t>Overall late delivery percentage: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50.0%</w:t>
      </w:r>
    </w:p>
    <w:p w14:paraId="4469E4D2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Insights:</w:t>
      </w:r>
      <w:r w:rsidRPr="00A925DB">
        <w:rPr>
          <w:rFonts w:ascii="Times New Roman" w:eastAsia="Times New Roman" w:hAnsi="Times New Roman" w:cs="Times New Roman"/>
          <w:sz w:val="24"/>
          <w:szCs w:val="24"/>
        </w:rPr>
        <w:t xml:space="preserve"> Web source has slower ingestion and validation issues; half the orders experienced late delivery.</w:t>
      </w:r>
    </w:p>
    <w:p w14:paraId="2D7C174B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DB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0C966B45" w14:textId="77777777" w:rsidR="00764579" w:rsidRPr="00A925DB" w:rsidRDefault="00764579" w:rsidP="007645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25DB">
        <w:rPr>
          <w:rFonts w:ascii="Times New Roman" w:eastAsia="Times New Roman" w:hAnsi="Times New Roman" w:cs="Times New Roman"/>
          <w:sz w:val="24"/>
          <w:szCs w:val="24"/>
        </w:rPr>
        <w:t>Apache Drill effectively handled the deeply nested JSON, allowing complex analytics via array flattening and nested field access. This demonstrates its power for schema-flexible, ad-hoc querying in big data scenarios.</w:t>
      </w:r>
    </w:p>
    <w:p w14:paraId="019DF370" w14:textId="77777777" w:rsidR="00764579" w:rsidRPr="00A925DB" w:rsidRDefault="00764579" w:rsidP="00764579">
      <w:pPr>
        <w:jc w:val="both"/>
        <w:rPr>
          <w:b/>
          <w:bCs/>
        </w:rPr>
      </w:pPr>
    </w:p>
    <w:p w14:paraId="71419E14" w14:textId="77777777" w:rsidR="00793DA1" w:rsidRDefault="00793DA1" w:rsidP="00764579">
      <w:pPr>
        <w:jc w:val="both"/>
      </w:pPr>
    </w:p>
    <w:sectPr w:rsidR="0079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79"/>
    <w:rsid w:val="0013258A"/>
    <w:rsid w:val="00764579"/>
    <w:rsid w:val="0079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A09E"/>
  <w15:chartTrackingRefBased/>
  <w15:docId w15:val="{539AC0C4-FFFC-4175-8DD2-9DD6F173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5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L1F22BSDS0054- ALISHA AYYAZ</dc:creator>
  <cp:keywords/>
  <dc:description/>
  <cp:lastModifiedBy>L1F22BSDS0054- ALISHA AYYAZ</cp:lastModifiedBy>
  <cp:revision>2</cp:revision>
  <dcterms:created xsi:type="dcterms:W3CDTF">2025-12-21T10:10:00Z</dcterms:created>
  <dcterms:modified xsi:type="dcterms:W3CDTF">2026-03-08T09:34:00Z</dcterms:modified>
</cp:coreProperties>
</file>