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888888"/>
          <w:sz w:val="28"/>
          <w:szCs w:val="28"/>
        </w:rPr>
        <w:t xml:space="preserve">The AI Agent Factory</w:t>
      </w:r>
    </w:p>
    <w:p>
      <w:pPr>
        <w:spacing w:after="200"/>
        <w:jc w:val="center"/>
      </w:pPr>
      <w:r>
        <w:rPr>
          <w:rFonts w:ascii="Arial" w:cs="Arial" w:eastAsia="Arial" w:hAnsi="Arial"/>
          <w:color w:val="888888"/>
          <w:sz w:val="28"/>
          <w:szCs w:val="28"/>
        </w:rPr>
        <w:t xml:space="preserve">Part 5: Building the Agent Factory</w:t>
      </w:r>
    </w:p>
    <w:p>
      <w:pPr>
        <w:spacing w:after="100"/>
      </w:pPr>
    </w:p>
    <w:p>
      <w:pPr>
        <w:spacing w:after="200"/>
        <w:jc w:val="center"/>
      </w:pPr>
      <w:r>
        <w:rPr>
          <w:rFonts w:ascii="Arial" w:cs="Arial" w:eastAsia="Arial" w:hAnsi="Arial"/>
          <w:b/>
          <w:bCs/>
          <w:color w:val="1B3A5C"/>
          <w:sz w:val="72"/>
          <w:szCs w:val="72"/>
        </w:rPr>
        <w:t xml:space="preserve">The Economics Stack</w:t>
      </w:r>
    </w:p>
    <w:p>
      <w:pPr>
        <w:spacing w:after="200"/>
        <w:jc w:val="center"/>
      </w:pPr>
      <w:r>
        <w:rPr>
          <w:rFonts w:ascii="Arial" w:cs="Arial" w:eastAsia="Arial" w:hAnsi="Arial"/>
          <w:color w:val="444444"/>
          <w:sz w:val="36"/>
          <w:szCs w:val="36"/>
        </w:rPr>
        <w:t xml:space="preserve">How to Build a Profitable AI Product</w:t>
      </w:r>
    </w:p>
    <w:p>
      <w:pPr>
        <w:spacing w:after="100"/>
      </w:pPr>
    </w:p>
    <w:p>
      <w:pPr>
        <w:spacing w:after="100"/>
      </w:pPr>
    </w:p>
    <w:p>
      <w:pPr>
        <w:spacing w:after="100"/>
      </w:pPr>
    </w:p>
    <w:p>
      <w:pPr>
        <w:spacing w:after="100"/>
        <w:jc w:val="center"/>
      </w:pPr>
      <w:r>
        <w:rPr>
          <w:rFonts w:ascii="Arial" w:cs="Arial" w:eastAsia="Arial" w:hAnsi="Arial"/>
          <w:b/>
          <w:bCs/>
          <w:sz w:val="28"/>
          <w:szCs w:val="28"/>
        </w:rPr>
        <w:t xml:space="preserve">Zia Khan</w:t>
      </w:r>
    </w:p>
    <w:p>
      <w:pPr>
        <w:spacing w:after="100"/>
        <w:jc w:val="center"/>
      </w:pPr>
      <w:r>
        <w:rPr>
          <w:rFonts w:ascii="Arial" w:cs="Arial" w:eastAsia="Arial" w:hAnsi="Arial"/>
          <w:color w:val="2E75B6"/>
          <w:sz w:val="24"/>
          <w:szCs w:val="24"/>
        </w:rPr>
        <w:t xml:space="preserve">agentfactory.panaversity.org</w:t>
      </w:r>
    </w:p>
    <w:p>
      <w:r>
        <w:br w:type="page"/>
      </w:r>
    </w:p>
    <w:p>
      <w:pPr>
        <w:pStyle w:val="Heading1"/>
      </w:pPr>
      <w:r>
        <w:rPr>
          <w:rFonts w:ascii="Arial" w:cs="Arial" w:eastAsia="Arial" w:hAnsi="Arial"/>
        </w:rPr>
        <w:t xml:space="preserve">Chapter Introduction</w:t>
      </w:r>
    </w:p>
    <w:p>
      <w:pPr>
        <w:spacing w:after="200"/>
      </w:pPr>
      <w:r>
        <w:rPr>
          <w:rFonts w:ascii="Arial" w:cs="Arial" w:eastAsia="Arial" w:hAnsi="Arial"/>
          <w:i/>
          <w:iCs/>
          <w:sz w:val="24"/>
          <w:szCs w:val="24"/>
        </w:rPr>
        <w:t xml:space="preserve">“Every carpenter can now be an architect. Every plumber will become an architect. We are going to elevate the capabilities of everyone.” — Jensen Huang, GTC 2026</w:t>
      </w:r>
    </w:p>
    <w:p>
      <w:pPr>
        <w:spacing w:after="100"/>
      </w:pPr>
    </w:p>
    <w:p>
      <w:pPr>
        <w:spacing w:after="200"/>
      </w:pPr>
      <w:r>
        <w:rPr>
          <w:rFonts w:ascii="Arial" w:cs="Arial" w:eastAsia="Arial" w:hAnsi="Arial"/>
          <w:sz w:val="24"/>
          <w:szCs w:val="24"/>
        </w:rPr>
        <w:t xml:space="preserve">Building an AI agent is the easy part. Making it profitable is where most projects die.</w:t>
      </w:r>
    </w:p>
    <w:p>
      <w:pPr>
        <w:spacing w:after="200"/>
      </w:pPr>
      <w:r>
        <w:rPr>
          <w:rFonts w:ascii="Arial" w:cs="Arial" w:eastAsia="Arial" w:hAnsi="Arial"/>
          <w:sz w:val="24"/>
          <w:szCs w:val="24"/>
        </w:rPr>
        <w:t xml:space="preserve">Throughout this book, we have built Digital FTEs—autonomous AI agents that do real work. We have given them bodies (messaging gateways), brains (LLM intelligence), and skills (pedagogical frameworks, code generation, workflow automation). But a Digital FTE that costs more to run than the value it creates is not a product—it is a science experiment.</w:t>
      </w:r>
    </w:p>
    <w:p>
      <w:pPr>
        <w:spacing w:after="200"/>
      </w:pPr>
      <w:r>
        <w:rPr>
          <w:rFonts w:ascii="Arial" w:cs="Arial" w:eastAsia="Arial" w:hAnsi="Arial"/>
          <w:sz w:val="24"/>
          <w:szCs w:val="24"/>
        </w:rPr>
        <w:t xml:space="preserve">This chapter teaches you the Economics Stack: the set of tools, patterns, and decisions that turn an AI agent from a cost center into a profit center. We will use TutorClaw—the 24/7 AI tutor for this book—as our running example, but the patterns apply to any AI product you build.</w:t>
      </w:r>
    </w:p>
    <w:p>
      <w:pPr>
        <w:spacing w:after="200"/>
      </w:pPr>
      <w:r>
        <w:rPr>
          <w:rFonts w:ascii="Arial" w:cs="Arial" w:eastAsia="Arial" w:hAnsi="Arial"/>
          <w:sz w:val="24"/>
          <w:szCs w:val="24"/>
        </w:rPr>
        <w:t xml:space="preserve">By the end of this chapter, you will understand: how LLM pricing works and why it matters for product design; how to implement tiered model routing that matches intelligence to value; how to use OpenRouter as a unified LLM gateway; how to use Stripe Token Billing to automate margin-positive billing; and how to design pricing tiers that create natural upgrade funnels.</w:t>
      </w:r>
    </w:p>
    <w:p>
      <w:pPr>
        <w:pStyle w:val="Heading1"/>
      </w:pPr>
      <w:r>
        <w:rPr>
          <w:rFonts w:ascii="Arial" w:cs="Arial" w:eastAsia="Arial" w:hAnsi="Arial"/>
        </w:rPr>
        <w:t xml:space="preserve">1. The LLM Pricing Landscape in 2026</w:t>
      </w:r>
    </w:p>
    <w:p>
      <w:pPr>
        <w:spacing w:after="200"/>
      </w:pPr>
      <w:r>
        <w:rPr>
          <w:rFonts w:ascii="Arial" w:cs="Arial" w:eastAsia="Arial" w:hAnsi="Arial"/>
          <w:sz w:val="24"/>
          <w:szCs w:val="24"/>
        </w:rPr>
        <w:t xml:space="preserve">The first thing every AI product builder must internalize: not all intelligence costs the same. The pricing gap between frontier and commodity models as of March 2026 is staggering.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Input (per 1M tokens)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Output (per 1M tokens)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Relative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Premium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GPT-5.4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GPT-5.4 mini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DeepSeek V3.2 (cache miss)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GPT-5 Nano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Ultra-low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DeepSeek V3.2 (cache hit)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Near-free</w:t>
            </w:r>
          </w:p>
        </w:tc>
      </w:tr>
    </w:tbl>
    <w:p>
      <w:pPr>
        <w:spacing w:after="100"/>
      </w:pPr>
    </w:p>
    <w:p>
      <w:pPr>
        <w:spacing w:after="200"/>
      </w:pPr>
      <w:r>
        <w:rPr>
          <w:rFonts w:ascii="Arial" w:cs="Arial" w:eastAsia="Arial" w:hAnsi="Arial"/>
          <w:sz w:val="24"/>
          <w:szCs w:val="24"/>
        </w:rPr>
        <w:t xml:space="preserve">Claude Sonnet output costs $15 per million tokens. GPT-5 Nano output costs $0.40 per million tokens. That is a </w:t>
      </w:r>
      <w:r>
        <w:rPr>
          <w:rFonts w:ascii="Arial" w:cs="Arial" w:eastAsia="Arial" w:hAnsi="Arial"/>
          <w:b/>
          <w:bCs/>
          <w:sz w:val="24"/>
          <w:szCs w:val="24"/>
        </w:rPr>
        <w:t xml:space="preserve">37x difference</w:t>
      </w:r>
      <w:r>
        <w:rPr>
          <w:rFonts w:ascii="Arial" w:cs="Arial" w:eastAsia="Arial" w:hAnsi="Arial"/>
          <w:sz w:val="24"/>
          <w:szCs w:val="24"/>
        </w:rPr>
        <w:t xml:space="preserve"> in cost for generating text. DeepSeek V3.2 with cache hits is even cheaper. The implication is clear: the model you choose is not just a technical decision—it is a business model decision. Choosing the wrong model for the wrong task is either wasteful (using Opus for simple Q&amp;A) or value-destroying (using Nano for complex reasoning that produces wrong answers requiring human correction).</w:t>
      </w:r>
    </w:p>
    <w:p>
      <w:pPr>
        <w:pStyle w:val="Heading2"/>
      </w:pPr>
      <w:r>
        <w:rPr>
          <w:rFonts w:ascii="Arial" w:cs="Arial" w:eastAsia="Arial" w:hAnsi="Arial"/>
        </w:rPr>
        <w:t xml:space="preserve">1.1 The Hidden Cost: Cost Per Accepted Output</w:t>
      </w:r>
    </w:p>
    <w:p>
      <w:pPr>
        <w:spacing w:after="200"/>
      </w:pPr>
      <w:r>
        <w:rPr>
          <w:rFonts w:ascii="Arial" w:cs="Arial" w:eastAsia="Arial" w:hAnsi="Arial"/>
          <w:sz w:val="24"/>
          <w:szCs w:val="24"/>
        </w:rPr>
        <w:t xml:space="preserve">Many teams optimize for the cheapest model and then lose money in hidden operations: more retries, more manual editing, slower QA cycles, and higher failure rates in multi-step tasks. The better metric is: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Cost Per Accepted Output = (Token Cost + Human Correction Cost + QA Cost) / Accepted Outputs</w:t>
      </w:r>
      <w:r>
        <w:rPr>
          <w:rFonts w:ascii="Arial" w:cs="Arial" w:eastAsia="Arial" w:hAnsi="Arial"/>
          <w:sz w:val="24"/>
          <w:szCs w:val="24"/>
        </w:rPr>
        <w:t xml:space="preserve"/>
      </w:r>
    </w:p>
    <w:p>
      <w:pPr>
        <w:spacing w:after="200"/>
      </w:pPr>
      <w:r>
        <w:rPr>
          <w:rFonts w:ascii="Arial" w:cs="Arial" w:eastAsia="Arial" w:hAnsi="Arial"/>
          <w:sz w:val="24"/>
          <w:szCs w:val="24"/>
        </w:rPr>
        <w:t xml:space="preserve">A $0.40/M-token model that produces wrong answers 40% of the time is more expensive than a $15/M-token model that gets it right on the first try—if the wrong answers require human intervention. For TutorClaw, a wrong pedagogical response doesn’t just cost tokens; it teaches the learner incorrectly, which has downstream educational consequences.</w:t>
      </w:r>
    </w:p>
    <w:p>
      <w:pPr>
        <w:spacing w:after="200"/>
      </w:pPr>
      <w:r>
        <w:rPr>
          <w:rFonts w:ascii="Arial" w:cs="Arial" w:eastAsia="Arial" w:hAnsi="Arial"/>
          <w:sz w:val="24"/>
          <w:szCs w:val="24"/>
        </w:rPr>
        <w:t xml:space="preserve">The lesson: match model capability to task criticality, not just task volume.</w:t>
      </w:r>
    </w:p>
    <w:p>
      <w:pPr>
        <w:pStyle w:val="Heading1"/>
      </w:pPr>
      <w:r>
        <w:rPr>
          <w:rFonts w:ascii="Arial" w:cs="Arial" w:eastAsia="Arial" w:hAnsi="Arial"/>
        </w:rPr>
        <w:t xml:space="preserve">2. The Model Gateway Pattern: OpenRouter</w:t>
      </w:r>
    </w:p>
    <w:p>
      <w:pPr>
        <w:spacing w:after="200"/>
      </w:pPr>
      <w:r>
        <w:rPr>
          <w:rFonts w:ascii="Arial" w:cs="Arial" w:eastAsia="Arial" w:hAnsi="Arial"/>
          <w:sz w:val="24"/>
          <w:szCs w:val="24"/>
        </w:rPr>
        <w:t xml:space="preserve">If you are building a product that uses multiple LLMs (and you should be), you need a gateway—a single API endpoint that routes your requests to the right provider. Without a gateway, you manage separate API keys, billing accounts, SDK integrations, and failover logic for every provider. This is unsustainable in production.</w:t>
      </w:r>
    </w:p>
    <w:p>
      <w:pPr>
        <w:pStyle w:val="Heading2"/>
      </w:pPr>
      <w:r>
        <w:rPr>
          <w:rFonts w:ascii="Arial" w:cs="Arial" w:eastAsia="Arial" w:hAnsi="Arial"/>
        </w:rPr>
        <w:t xml:space="preserve">2.1 What OpenRouter Does</w:t>
      </w:r>
    </w:p>
    <w:p>
      <w:pPr>
        <w:spacing w:after="200"/>
      </w:pPr>
      <w:r>
        <w:rPr>
          <w:rFonts w:ascii="Arial" w:cs="Arial" w:eastAsia="Arial" w:hAnsi="Arial"/>
          <w:sz w:val="24"/>
          <w:szCs w:val="24"/>
        </w:rPr>
        <w:t xml:space="preserve">OpenRouter is a unified API gateway providing access to 290+ models from every major provider through a single, OpenAI-compatible API. It abstracts away authentication differences, payload shaping, streaming quirks, and error cases. Model switching is a parameter change:</w:t>
      </w:r>
    </w:p>
    <w:p>
      <w:pPr>
        <w:shd w:fill="F5F5F5" w:val="clear"/>
        <w:spacing w:after="100"/>
      </w:pPr>
      <w:r>
        <w:rPr>
          <w:rFonts w:ascii="Courier New" w:cs="Courier New" w:eastAsia="Courier New" w:hAnsi="Courier New"/>
          <w:sz w:val="20"/>
          <w:szCs w:val="20"/>
        </w:rPr>
        <w:t xml:space="preserve"># Free tier learner</w:t>
      </w:r>
    </w:p>
    <w:p>
      <w:pPr>
        <w:shd w:fill="F5F5F5" w:val="clear"/>
        <w:spacing w:after="100"/>
      </w:pPr>
      <w:r>
        <w:rPr>
          <w:rFonts w:ascii="Courier New" w:cs="Courier New" w:eastAsia="Courier New" w:hAnsi="Courier New"/>
          <w:sz w:val="20"/>
          <w:szCs w:val="20"/>
        </w:rPr>
        <w:t xml:space="preserve">response = client.chat.completions.create(</w:t>
      </w:r>
    </w:p>
    <w:p>
      <w:pPr>
        <w:shd w:fill="F5F5F5" w:val="clear"/>
        <w:spacing w:after="100"/>
      </w:pPr>
      <w:r>
        <w:rPr>
          <w:rFonts w:ascii="Courier New" w:cs="Courier New" w:eastAsia="Courier New" w:hAnsi="Courier New"/>
          <w:sz w:val="20"/>
          <w:szCs w:val="20"/>
        </w:rPr>
        <w:t xml:space="preserve">    model="deepseek/deepseek-chat",  # $0.28/M input</w:t>
      </w:r>
    </w:p>
    <w:p>
      <w:pPr>
        <w:shd w:fill="F5F5F5" w:val="clear"/>
        <w:spacing w:after="100"/>
      </w:pPr>
      <w:r>
        <w:rPr>
          <w:rFonts w:ascii="Courier New" w:cs="Courier New" w:eastAsia="Courier New" w:hAnsi="Courier New"/>
          <w:sz w:val="20"/>
          <w:szCs w:val="20"/>
        </w:rPr>
        <w:t xml:space="preserve">    messages=[system_prompt, context, message]</w:t>
      </w:r>
    </w:p>
    <w:p>
      <w:pPr>
        <w:shd w:fill="F5F5F5" w:val="clear"/>
        <w:spacing w:after="100"/>
      </w:pPr>
      <w:r>
        <w:rPr>
          <w:rFonts w:ascii="Courier New" w:cs="Courier New" w:eastAsia="Courier New" w:hAnsi="Courier New"/>
          <w:sz w:val="20"/>
          <w:szCs w:val="20"/>
        </w:rPr>
        <w:t xml:space="preserve">)</w:t>
      </w:r>
    </w:p>
    <w:p>
      <w:pPr>
        <w:shd w:fill="F5F5F5" w:val="clear"/>
        <w:spacing w:after="100"/>
      </w:pPr>
      <w:r>
        <w:rPr>
          <w:rFonts w:ascii="Courier New" w:cs="Courier New" w:eastAsia="Courier New" w:hAnsi="Courier New"/>
          <w:sz w:val="20"/>
          <w:szCs w:val="20"/>
        </w:rPr>
        <w:t xml:space="preserve"/>
      </w:r>
    </w:p>
    <w:p>
      <w:pPr>
        <w:shd w:fill="F5F5F5" w:val="clear"/>
        <w:spacing w:after="100"/>
      </w:pPr>
      <w:r>
        <w:rPr>
          <w:rFonts w:ascii="Courier New" w:cs="Courier New" w:eastAsia="Courier New" w:hAnsi="Courier New"/>
          <w:sz w:val="20"/>
          <w:szCs w:val="20"/>
        </w:rPr>
        <w:t xml:space="preserve"># Premium tier learner — same code, one string changed</w:t>
      </w:r>
    </w:p>
    <w:p>
      <w:pPr>
        <w:shd w:fill="F5F5F5" w:val="clear"/>
        <w:spacing w:after="100"/>
      </w:pPr>
      <w:r>
        <w:rPr>
          <w:rFonts w:ascii="Courier New" w:cs="Courier New" w:eastAsia="Courier New" w:hAnsi="Courier New"/>
          <w:sz w:val="20"/>
          <w:szCs w:val="20"/>
        </w:rPr>
        <w:t xml:space="preserve">response = client.chat.completions.create(</w:t>
      </w:r>
    </w:p>
    <w:p>
      <w:pPr>
        <w:shd w:fill="F5F5F5" w:val="clear"/>
        <w:spacing w:after="100"/>
      </w:pPr>
      <w:r>
        <w:rPr>
          <w:rFonts w:ascii="Courier New" w:cs="Courier New" w:eastAsia="Courier New" w:hAnsi="Courier New"/>
          <w:sz w:val="20"/>
          <w:szCs w:val="20"/>
        </w:rPr>
        <w:t xml:space="preserve">    model="anthropic/claude-sonnet-4.5",  # $3/M input</w:t>
      </w:r>
    </w:p>
    <w:p>
      <w:pPr>
        <w:shd w:fill="F5F5F5" w:val="clear"/>
        <w:spacing w:after="100"/>
      </w:pPr>
      <w:r>
        <w:rPr>
          <w:rFonts w:ascii="Courier New" w:cs="Courier New" w:eastAsia="Courier New" w:hAnsi="Courier New"/>
          <w:sz w:val="20"/>
          <w:szCs w:val="20"/>
        </w:rPr>
        <w:t xml:space="preserve">    messages=[system_prompt, context, message]</w:t>
      </w:r>
    </w:p>
    <w:p>
      <w:pPr>
        <w:shd w:fill="F5F5F5" w:val="clear"/>
        <w:spacing w:after="100"/>
      </w:pPr>
      <w:r>
        <w:rPr>
          <w:rFonts w:ascii="Courier New" w:cs="Courier New" w:eastAsia="Courier New" w:hAnsi="Courier New"/>
          <w:sz w:val="20"/>
          <w:szCs w:val="20"/>
        </w:rPr>
        <w:t xml:space="preserve">)</w:t>
      </w:r>
    </w:p>
    <w:p>
      <w:pPr>
        <w:spacing w:after="100"/>
      </w:pPr>
    </w:p>
    <w:p>
      <w:pPr>
        <w:spacing w:after="200"/>
      </w:pPr>
      <w:r>
        <w:rPr>
          <w:rFonts w:ascii="Arial" w:cs="Arial" w:eastAsia="Arial" w:hAnsi="Arial"/>
          <w:sz w:val="24"/>
          <w:szCs w:val="24"/>
        </w:rPr>
        <w:t xml:space="preserve">One API endpoint. One SDK. One billing account. The model switch is a string swap.</w:t>
      </w:r>
    </w:p>
    <w:p>
      <w:pPr>
        <w:pStyle w:val="Heading2"/>
      </w:pPr>
      <w:r>
        <w:rPr>
          <w:rFonts w:ascii="Arial" w:cs="Arial" w:eastAsia="Arial" w:hAnsi="Arial"/>
        </w:rPr>
        <w:t xml:space="preserve">2.2 Key Features for Product Builders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Pass-through pricing.</w:t>
      </w:r>
      <w:r>
        <w:rPr>
          <w:rFonts w:ascii="Arial" w:cs="Arial" w:eastAsia="Arial" w:hAnsi="Arial"/>
          <w:sz w:val="24"/>
          <w:szCs w:val="24"/>
        </w:rPr>
        <w:t xml:space="preserve"> OpenRouter does not mark up provider pricing. You pay what you would pay the provider directly, plus a ~5.5% fee on credit purchases.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Automatic fallback.</w:t>
      </w:r>
      <w:r>
        <w:rPr>
          <w:rFonts w:ascii="Arial" w:cs="Arial" w:eastAsia="Arial" w:hAnsi="Arial"/>
          <w:sz w:val="24"/>
          <w:szCs w:val="24"/>
        </w:rPr>
        <w:t xml:space="preserve"> When routing/fallback is enabled, if Claude is down, OpenRouter automatically routes to a backup model. You are billed only for the successful run. Your users never experience downtime.</w:t>
      </w:r>
    </w:p>
    <w:p>
      <w:pPr>
        <w:spacing w:after="200"/>
      </w:pPr>
      <w:r>
        <w:rPr>
          <w:rFonts w:ascii="Arial" w:cs="Arial" w:eastAsia="Arial" w:hAnsi="Arial"/>
          <w:sz w:val="24"/>
          <w:szCs w:val="24"/>
        </w:rPr>
        <w:t xml:space="preserve"/>
      </w:r>
      <w:r>
        <w:rPr>
          <w:rFonts w:ascii="Arial" w:cs="Arial" w:eastAsia="Arial" w:hAnsi="Arial"/>
          <w:b/>
          <w:bCs/>
          <w:sz w:val="24"/>
          <w:szCs w:val="24"/>
        </w:rPr>
        <w:t xml:space="preserve">Unified billing.</w:t>
      </w:r>
      <w:r>
        <w:rPr>
          <w:rFonts w:ascii="Arial" w:cs="Arial" w:eastAsia="Arial" w:hAnsi="Arial"/>
          <w:sz w:val="24"/>
          <w:szCs w:val="24"/>
        </w:rPr>
        <w:t xml:space="preserve"> One credit balance covers all providers. No separate reconciliation of Anthropic, OpenAI, and DeepSeek invoices.</w:t>
      </w:r>
    </w:p>
    <w:p>
      <w:pPr>
        <w:spacing w:after="200"/>
      </w:pPr>
      <w:r>
        <w:rPr>
          <w:rFonts w:ascii="Arial" w:cs="Arial" w:eastAsia="Arial" w:hAnsi="Arial"/>
          <w:sz w:val="24"/>
          <w:szCs w:val="24"/>
        </w:rPr>
        <w:t xml:space="preserve"/>
      </w:r>
      <w:r>
        <w:rPr>
          <w:rFonts w:ascii="Arial" w:cs="Arial" w:eastAsia="Arial" w:hAnsi="Arial"/>
          <w:b/>
          <w:bCs/>
          <w:sz w:val="24"/>
          <w:szCs w:val="24"/>
        </w:rPr>
        <w:t xml:space="preserve">Edge latency.</w:t>
      </w:r>
      <w:r>
        <w:rPr>
          <w:rFonts w:ascii="Arial" w:cs="Arial" w:eastAsia="Arial" w:hAnsi="Arial"/>
          <w:sz w:val="24"/>
          <w:szCs w:val="24"/>
        </w:rPr>
        <w:t xml:space="preserve"> OpenRouter adds approximately 15–40ms of overhead—imperceptible to a WhatsApp user waiting for a tutoring response.</w:t>
      </w:r>
    </w:p>
    <w:p>
      <w:pPr>
        <w:pStyle w:val="Heading1"/>
      </w:pPr>
      <w:r>
        <w:rPr>
          <w:rFonts w:ascii="Arial" w:cs="Arial" w:eastAsia="Arial" w:hAnsi="Arial"/>
        </w:rPr>
        <w:t xml:space="preserve">3. Tiered Model Routing: Intelligence Matched to Value</w:t>
      </w:r>
    </w:p>
    <w:p>
      <w:pPr>
        <w:spacing w:after="200"/>
      </w:pPr>
      <w:r>
        <w:rPr>
          <w:rFonts w:ascii="Arial" w:cs="Arial" w:eastAsia="Arial" w:hAnsi="Arial"/>
          <w:sz w:val="24"/>
          <w:szCs w:val="24"/>
        </w:rPr>
        <w:t xml:space="preserve">The core insight of the Economics Stack: </w:t>
      </w:r>
      <w:r>
        <w:rPr>
          <w:rFonts w:ascii="Arial" w:cs="Arial" w:eastAsia="Arial" w:hAnsi="Arial"/>
          <w:b/>
          <w:bCs/>
          <w:sz w:val="24"/>
          <w:szCs w:val="24"/>
        </w:rPr>
        <w:t xml:space="preserve">not every user interaction requires frontier intelligence.</w:t>
      </w:r>
      <w:r>
        <w:rPr>
          <w:rFonts w:ascii="Arial" w:cs="Arial" w:eastAsia="Arial" w:hAnsi="Arial"/>
          <w:sz w:val="24"/>
          <w:szCs w:val="24"/>
        </w:rPr>
        <w:t xml:space="preserve"> A learner asking “what chapter am I on?” does not need Claude Opus. A learner struggling with a complex async/await concept and needing Socratic scaffolding does.</w:t>
      </w:r>
    </w:p>
    <w:p>
      <w:pPr>
        <w:spacing w:after="200"/>
      </w:pPr>
      <w:r>
        <w:rPr>
          <w:rFonts w:ascii="Arial" w:cs="Arial" w:eastAsia="Arial" w:hAnsi="Arial"/>
          <w:sz w:val="24"/>
          <w:szCs w:val="24"/>
        </w:rPr>
        <w:t xml:space="preserve">Tiered model routing is the practice of dynamically selecting which model handles each request based on the user’s subscription tier, the complexity of the task, and the current stage in the workflow.</w:t>
      </w:r>
    </w:p>
    <w:p>
      <w:pPr>
        <w:pStyle w:val="Heading2"/>
      </w:pPr>
      <w:r>
        <w:rPr>
          <w:rFonts w:ascii="Arial" w:cs="Arial" w:eastAsia="Arial" w:hAnsi="Arial"/>
        </w:rPr>
        <w:t xml:space="preserve">3.1 The TutorClaw Three-Tier Model</w:t>
      </w:r>
    </w:p>
    <w:p>
      <w:pPr>
        <w:spacing w:after="200"/>
      </w:pPr>
      <w:r>
        <w:rPr>
          <w:rFonts w:ascii="Arial" w:cs="Arial" w:eastAsia="Arial" w:hAnsi="Arial"/>
          <w:sz w:val="24"/>
          <w:szCs w:val="24"/>
        </w:rPr>
        <w:t xml:space="preserve"/>
      </w:r>
      <w:r>
        <w:rPr>
          <w:rFonts w:ascii="Arial" w:cs="Arial" w:eastAsia="Arial" w:hAnsi="Arial"/>
          <w:b/>
          <w:bCs/>
          <w:sz w:val="24"/>
          <w:szCs w:val="24"/>
        </w:rPr>
        <w:t xml:space="preserve">Free Tier (0 PKR/month)</w:t>
      </w:r>
      <w:r>
        <w:rPr>
          <w:rFonts w:ascii="Arial" w:cs="Arial" w:eastAsia="Arial" w:hAnsi="Arial"/>
          <w:sz w:val="24"/>
          <w:szCs w:val="24"/>
        </w:rPr>
        <w:t xml:space="preserve"> — Primary model: DeepSeek V3.2 with GPT-5 Nano as fallback. Simplified “PRIMM-Lite” pedagogy (Predict → Run → brief Investigate). 20 exchanges/day cap. Cost: approximately $0.005–$0.01 per learner per day. This tier is the funnel—it exists to demonstrate value and convert learners to paid.</w:t>
      </w:r>
    </w:p>
    <w:p>
      <w:pPr>
        <w:spacing w:after="200"/>
      </w:pPr>
      <w:r>
        <w:rPr>
          <w:rFonts w:ascii="Arial" w:cs="Arial" w:eastAsia="Arial" w:hAnsi="Arial"/>
          <w:sz w:val="24"/>
          <w:szCs w:val="24"/>
        </w:rPr>
        <w:t xml:space="preserve"/>
      </w:r>
      <w:r>
        <w:rPr>
          <w:rFonts w:ascii="Arial" w:cs="Arial" w:eastAsia="Arial" w:hAnsi="Arial"/>
          <w:b/>
          <w:bCs/>
          <w:sz w:val="24"/>
          <w:szCs w:val="24"/>
        </w:rPr>
        <w:t xml:space="preserve">Paid Tier (PKR 500/month, ~$1.75)</w:t>
      </w:r>
      <w:r>
        <w:rPr>
          <w:rFonts w:ascii="Arial" w:cs="Arial" w:eastAsia="Arial" w:hAnsi="Arial"/>
          <w:sz w:val="24"/>
          <w:szCs w:val="24"/>
        </w:rPr>
        <w:t xml:space="preserve"> — Primary model: GPT-5.4 mini with escalation to Claude Sonnet 4.5 for 10–15% of interactions (complex explanations, assessments, when the learner is stuck). Full PRIMM-AI+ pedagogical framework. 50 exchanges/day. Cost: approximately $0.04–$0.06 per learner per day.</w:t>
      </w:r>
    </w:p>
    <w:p>
      <w:pPr>
        <w:spacing w:after="200"/>
      </w:pPr>
      <w:r>
        <w:rPr>
          <w:rFonts w:ascii="Arial" w:cs="Arial" w:eastAsia="Arial" w:hAnsi="Arial"/>
          <w:sz w:val="24"/>
          <w:szCs w:val="24"/>
        </w:rPr>
        <w:t xml:space="preserve"/>
      </w:r>
      <w:r>
        <w:rPr>
          <w:rFonts w:ascii="Arial" w:cs="Arial" w:eastAsia="Arial" w:hAnsi="Arial"/>
          <w:b/>
          <w:bCs/>
          <w:sz w:val="24"/>
          <w:szCs w:val="24"/>
        </w:rPr>
        <w:t xml:space="preserve">Premium Tier (PKR 3,000/month, ~$10.50)</w:t>
      </w:r>
      <w:r>
        <w:rPr>
          <w:rFonts w:ascii="Arial" w:cs="Arial" w:eastAsia="Arial" w:hAnsi="Arial"/>
          <w:sz w:val="24"/>
          <w:szCs w:val="24"/>
        </w:rPr>
        <w:t xml:space="preserve"> — Primary model: Claude Sonnet 4.5 with escalation to Claude Opus 4.6 for assessments and personalized learning path generation. Full PRIMM-AI+ with personalized learning paths. Unlimited exchanges. Cost: approximately $0.12–$0.20 per learner per day.</w:t>
      </w:r>
    </w:p>
    <w:p>
      <w:pPr>
        <w:pStyle w:val="Heading2"/>
      </w:pPr>
      <w:r>
        <w:rPr>
          <w:rFonts w:ascii="Arial" w:cs="Arial" w:eastAsia="Arial" w:hAnsi="Arial"/>
        </w:rPr>
        <w:t xml:space="preserve">3.2 The Router Logic</w:t>
      </w:r>
    </w:p>
    <w:p>
      <w:pPr>
        <w:spacing w:after="200"/>
      </w:pPr>
      <w:r>
        <w:rPr>
          <w:rFonts w:ascii="Arial" w:cs="Arial" w:eastAsia="Arial" w:hAnsi="Arial"/>
          <w:sz w:val="24"/>
          <w:szCs w:val="24"/>
        </w:rPr>
        <w:t xml:space="preserve">The Router is a lightweight decision layer that sits between the session manager and the LLM call. It evaluates:</w:t>
      </w:r>
    </w:p>
    <w:p>
      <w:pPr>
        <w:spacing w:after="200"/>
      </w:pPr>
      <w:r>
        <w:rPr>
          <w:rFonts w:ascii="Arial" w:cs="Arial" w:eastAsia="Arial" w:hAnsi="Arial"/>
          <w:sz w:val="24"/>
          <w:szCs w:val="24"/>
        </w:rPr>
        <w:t xml:space="preserve"/>
      </w:r>
      <w:r>
        <w:rPr>
          <w:rFonts w:ascii="Arial" w:cs="Arial" w:eastAsia="Arial" w:hAnsi="Arial"/>
          <w:b/>
          <w:bCs/>
          <w:sz w:val="24"/>
          <w:szCs w:val="24"/>
        </w:rPr>
        <w:t xml:space="preserve">Learner tier</w:t>
      </w:r>
      <w:r>
        <w:rPr>
          <w:rFonts w:ascii="Arial" w:cs="Arial" w:eastAsia="Arial" w:hAnsi="Arial"/>
          <w:sz w:val="24"/>
          <w:szCs w:val="24"/>
        </w:rPr>
        <w:t xml:space="preserve"> (from Stripe subscription via customer ID) — sets the model floor.</w:t>
      </w:r>
    </w:p>
    <w:p>
      <w:pPr>
        <w:spacing w:after="200"/>
      </w:pPr>
      <w:r>
        <w:rPr>
          <w:rFonts w:ascii="Arial" w:cs="Arial" w:eastAsia="Arial" w:hAnsi="Arial"/>
          <w:sz w:val="24"/>
          <w:szCs w:val="24"/>
        </w:rPr>
        <w:t xml:space="preserve"/>
      </w:r>
      <w:r>
        <w:rPr>
          <w:rFonts w:ascii="Arial" w:cs="Arial" w:eastAsia="Arial" w:hAnsi="Arial"/>
          <w:b/>
          <w:bCs/>
          <w:sz w:val="24"/>
          <w:szCs w:val="24"/>
        </w:rPr>
        <w:t xml:space="preserve">Message complexity</w:t>
      </w:r>
      <w:r>
        <w:rPr>
          <w:rFonts w:ascii="Arial" w:cs="Arial" w:eastAsia="Arial" w:hAnsi="Arial"/>
          <w:sz w:val="24"/>
          <w:szCs w:val="24"/>
        </w:rPr>
        <w:t xml:space="preserve"> — a simple question (“what is a variable?”) vs. a complex stuck-point (“I don’t understand why my async function returns a pending promise”).</w:t>
      </w:r>
    </w:p>
    <w:p>
      <w:pPr>
        <w:spacing w:after="200"/>
      </w:pPr>
      <w:r>
        <w:rPr>
          <w:rFonts w:ascii="Arial" w:cs="Arial" w:eastAsia="Arial" w:hAnsi="Arial"/>
          <w:sz w:val="24"/>
          <w:szCs w:val="24"/>
        </w:rPr>
        <w:t xml:space="preserve"/>
      </w:r>
      <w:r>
        <w:rPr>
          <w:rFonts w:ascii="Arial" w:cs="Arial" w:eastAsia="Arial" w:hAnsi="Arial"/>
          <w:b/>
          <w:bCs/>
          <w:sz w:val="24"/>
          <w:szCs w:val="24"/>
        </w:rPr>
        <w:t xml:space="preserve">PRIMM stage</w:t>
      </w:r>
      <w:r>
        <w:rPr>
          <w:rFonts w:ascii="Arial" w:cs="Arial" w:eastAsia="Arial" w:hAnsi="Arial"/>
          <w:sz w:val="24"/>
          <w:szCs w:val="24"/>
        </w:rPr>
        <w:t xml:space="preserve"> — Predict/Run stages are simpler (orienting the learner) vs. Investigate/Modify stages (deep scaffolding).</w:t>
      </w:r>
    </w:p>
    <w:p>
      <w:pPr>
        <w:spacing w:after="200"/>
      </w:pPr>
      <w:r>
        <w:rPr>
          <w:rFonts w:ascii="Arial" w:cs="Arial" w:eastAsia="Arial" w:hAnsi="Arial"/>
          <w:sz w:val="24"/>
          <w:szCs w:val="24"/>
        </w:rPr>
        <w:t xml:space="preserve"/>
      </w:r>
      <w:r>
        <w:rPr>
          <w:rFonts w:ascii="Arial" w:cs="Arial" w:eastAsia="Arial" w:hAnsi="Arial"/>
          <w:b/>
          <w:bCs/>
          <w:sz w:val="24"/>
          <w:szCs w:val="24"/>
        </w:rPr>
        <w:t xml:space="preserve">Learner confidence score</w:t>
      </w:r>
      <w:r>
        <w:rPr>
          <w:rFonts w:ascii="Arial" w:cs="Arial" w:eastAsia="Arial" w:hAnsi="Arial"/>
          <w:sz w:val="24"/>
          <w:szCs w:val="24"/>
        </w:rPr>
        <w:t xml:space="preserve"> — a learner with score &lt; 2 (struggling) gets escalated to a stronger model regardless of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Chapter difficulty level</w:t>
      </w:r>
      <w:r>
        <w:rPr>
          <w:rFonts w:ascii="Arial" w:cs="Arial" w:eastAsia="Arial" w:hAnsi="Arial"/>
          <w:sz w:val="24"/>
          <w:szCs w:val="24"/>
        </w:rPr>
        <w:t xml:space="preserve"> — early chapters (basic concepts) vs. late chapters (complex agent architectures).</w:t>
      </w:r>
    </w:p>
    <w:p>
      <w:pPr>
        <w:spacing w:after="200"/>
      </w:pPr>
      <w:r>
        <w:rPr>
          <w:rFonts w:ascii="Arial" w:cs="Arial" w:eastAsia="Arial" w:hAnsi="Arial"/>
          <w:sz w:val="24"/>
          <w:szCs w:val="24"/>
        </w:rPr>
        <w:t xml:space="preserve">The Router outputs a model string (e.g., “anthropic/claude-sonnet-4.5” or “deepseek/deepseek-chat”) that is passed to the OpenRouter API call. The routing logic can be purely rule-based (if-else on the criteria above) or itself be a tiny, cheap LLM call that classifies the message before the main model processes it.</w:t>
      </w:r>
    </w:p>
    <w:p>
      <w:pPr>
        <w:pStyle w:val="Heading2"/>
      </w:pPr>
      <w:r>
        <w:rPr>
          <w:rFonts w:ascii="Arial" w:cs="Arial" w:eastAsia="Arial" w:hAnsi="Arial"/>
        </w:rPr>
        <w:t xml:space="preserve">3.3 The Quality Trap with Cheap Models</w:t>
      </w:r>
    </w:p>
    <w:p>
      <w:pPr>
        <w:spacing w:after="200"/>
      </w:pPr>
      <w:r>
        <w:rPr>
          <w:rFonts w:ascii="Arial" w:cs="Arial" w:eastAsia="Arial" w:hAnsi="Arial"/>
          <w:sz w:val="24"/>
          <w:szCs w:val="24"/>
        </w:rPr>
        <w:t xml:space="preserve">A critical warning: nano-class models will NOT faithfully follow complex multi-step system prompts. The PRIMM-AI+ framework has nine enhancements, a Verification Ladder with precise stages, an Error Taxonomy with specific categories, and confidence scoring that requires calibrated judgment. Nano models approximate these; they do not execute them.</w:t>
      </w:r>
    </w:p>
    <w:p>
      <w:pPr>
        <w:spacing w:after="200"/>
      </w:pPr>
      <w:r>
        <w:rPr>
          <w:rFonts w:ascii="Arial" w:cs="Arial" w:eastAsia="Arial" w:hAnsi="Arial"/>
          <w:sz w:val="24"/>
          <w:szCs w:val="24"/>
        </w:rPr>
        <w:t xml:space="preserve">The solution is not to force the full framework onto a weak model. Instead, </w:t>
      </w:r>
      <w:r>
        <w:rPr>
          <w:rFonts w:ascii="Arial" w:cs="Arial" w:eastAsia="Arial" w:hAnsi="Arial"/>
          <w:b/>
          <w:bCs/>
          <w:sz w:val="24"/>
          <w:szCs w:val="24"/>
        </w:rPr>
        <w:t xml:space="preserve">design a simplified pedagogical experience for the tier.</w:t>
      </w:r>
      <w:r>
        <w:rPr>
          <w:rFonts w:ascii="Arial" w:cs="Arial" w:eastAsia="Arial" w:hAnsi="Arial"/>
          <w:sz w:val="24"/>
          <w:szCs w:val="24"/>
        </w:rPr>
        <w:t xml:space="preserve"> TutorClaw’s free tier uses PRIMM-Lite: a three-stage subset that cheap models can handle reliably. The full nine-enhancement framework is reserved for paid tiers using models capable of following it.</w:t>
      </w:r>
    </w:p>
    <w:p>
      <w:pPr>
        <w:spacing w:after="200"/>
      </w:pPr>
      <w:r>
        <w:rPr>
          <w:rFonts w:ascii="Arial" w:cs="Arial" w:eastAsia="Arial" w:hAnsi="Arial"/>
          <w:sz w:val="24"/>
          <w:szCs w:val="24"/>
        </w:rPr>
        <w:t xml:space="preserve">This is a product design decision, not a cost-cutting compromise. Free-tier users get a genuinely useful (if simpler) learning experience. The full experience is the upgrade incentive.</w:t>
      </w:r>
    </w:p>
    <w:p>
      <w:pPr>
        <w:pStyle w:val="Heading1"/>
      </w:pPr>
      <w:r>
        <w:rPr>
          <w:rFonts w:ascii="Arial" w:cs="Arial" w:eastAsia="Arial" w:hAnsi="Arial"/>
        </w:rPr>
        <w:t xml:space="preserve">4. Monetization: Stripe Token Billing</w:t>
      </w:r>
    </w:p>
    <w:p>
      <w:pPr>
        <w:spacing w:after="200"/>
      </w:pPr>
      <w:r>
        <w:rPr>
          <w:rFonts w:ascii="Arial" w:cs="Arial" w:eastAsia="Arial" w:hAnsi="Arial"/>
          <w:sz w:val="24"/>
          <w:szCs w:val="24"/>
        </w:rPr>
        <w:t xml:space="preserve">The hardest problem in AI product monetization: </w:t>
      </w:r>
      <w:r>
        <w:rPr>
          <w:rFonts w:ascii="Arial" w:cs="Arial" w:eastAsia="Arial" w:hAnsi="Arial"/>
          <w:b/>
          <w:bCs/>
          <w:sz w:val="24"/>
          <w:szCs w:val="24"/>
        </w:rPr>
        <w:t xml:space="preserve">your costs are variable, but your customers expect predictable pricing.</w:t>
      </w:r>
      <w:r>
        <w:rPr>
          <w:rFonts w:ascii="Arial" w:cs="Arial" w:eastAsia="Arial" w:hAnsi="Arial"/>
          <w:sz w:val="24"/>
          <w:szCs w:val="24"/>
        </w:rPr>
        <w:t xml:space="preserve"> Every user interaction consumes a different number of tokens depending on the prompt length, the model’s verbosity, and the complexity of the response. Traditional SaaS subscription pricing doesn’t account for this.</w:t>
      </w:r>
    </w:p>
    <w:p>
      <w:pPr>
        <w:pStyle w:val="Heading2"/>
      </w:pPr>
      <w:r>
        <w:rPr>
          <w:rFonts w:ascii="Arial" w:cs="Arial" w:eastAsia="Arial" w:hAnsi="Arial"/>
        </w:rPr>
        <w:t xml:space="preserve">4.1 What Stripe Token Billing Does</w:t>
      </w:r>
    </w:p>
    <w:p>
      <w:pPr>
        <w:spacing w:after="200"/>
      </w:pPr>
      <w:r>
        <w:rPr>
          <w:rFonts w:ascii="Arial" w:cs="Arial" w:eastAsia="Arial" w:hAnsi="Arial"/>
          <w:sz w:val="24"/>
          <w:szCs w:val="24"/>
        </w:rPr>
        <w:t xml:space="preserve">Stripe’s Token Billing feature (announced March 2026, in private preview) solves this by automating margin-positive billing for LLM token usage:</w:t>
      </w:r>
    </w:p>
    <w:p>
      <w:pPr>
        <w:spacing w:after="200"/>
      </w:pPr>
      <w:r>
        <w:rPr>
          <w:rFonts w:ascii="Arial" w:cs="Arial" w:eastAsia="Arial" w:hAnsi="Arial"/>
          <w:sz w:val="24"/>
          <w:szCs w:val="24"/>
        </w:rPr>
        <w:t xml:space="preserve">1. </w:t>
      </w:r>
      <w:r>
        <w:rPr>
          <w:rFonts w:ascii="Arial" w:cs="Arial" w:eastAsia="Arial" w:hAnsi="Arial"/>
          <w:b/>
          <w:bCs/>
          <w:sz w:val="24"/>
          <w:szCs w:val="24"/>
        </w:rPr>
        <w:t xml:space="preserve">Syncs model prices.</w:t>
      </w:r>
      <w:r>
        <w:rPr>
          <w:rFonts w:ascii="Arial" w:cs="Arial" w:eastAsia="Arial" w:hAnsi="Arial"/>
          <w:sz w:val="24"/>
          <w:szCs w:val="24"/>
        </w:rPr>
        <w:t xml:space="preserve"> Stripe maintains a database of current token prices across major providers (Anthropic, OpenAI, Google, DeepSeek). When a provider changes prices, Stripe updates automatically and notifies you.</w:t>
      </w:r>
    </w:p>
    <w:p>
      <w:pPr>
        <w:spacing w:after="200"/>
      </w:pPr>
      <w:r>
        <w:rPr>
          <w:rFonts w:ascii="Arial" w:cs="Arial" w:eastAsia="Arial" w:hAnsi="Arial"/>
          <w:sz w:val="24"/>
          <w:szCs w:val="24"/>
        </w:rPr>
        <w:t xml:space="preserve">2. </w:t>
      </w:r>
      <w:r>
        <w:rPr>
          <w:rFonts w:ascii="Arial" w:cs="Arial" w:eastAsia="Arial" w:hAnsi="Arial"/>
          <w:b/>
          <w:bCs/>
          <w:sz w:val="24"/>
          <w:szCs w:val="24"/>
        </w:rPr>
        <w:t xml:space="preserve">Configures usage-based billing.</w:t>
      </w:r>
      <w:r>
        <w:rPr>
          <w:rFonts w:ascii="Arial" w:cs="Arial" w:eastAsia="Arial" w:hAnsi="Arial"/>
          <w:sz w:val="24"/>
          <w:szCs w:val="24"/>
        </w:rPr>
        <w:t xml:space="preserve"> You set your desired markup (e.g., 40% above cost). Stripe configures the required billing resources—prices, meters, rate configuration—automatically.</w:t>
      </w:r>
    </w:p>
    <w:p>
      <w:pPr>
        <w:spacing w:after="200"/>
      </w:pPr>
      <w:r>
        <w:rPr>
          <w:rFonts w:ascii="Arial" w:cs="Arial" w:eastAsia="Arial" w:hAnsi="Arial"/>
          <w:sz w:val="24"/>
          <w:szCs w:val="24"/>
        </w:rPr>
        <w:t xml:space="preserve">3. </w:t>
      </w:r>
      <w:r>
        <w:rPr>
          <w:rFonts w:ascii="Arial" w:cs="Arial" w:eastAsia="Arial" w:hAnsi="Arial"/>
          <w:b/>
          <w:bCs/>
          <w:sz w:val="24"/>
          <w:szCs w:val="24"/>
        </w:rPr>
        <w:t xml:space="preserve">Records usage automatically.</w:t>
      </w:r>
      <w:r>
        <w:rPr>
          <w:rFonts w:ascii="Arial" w:cs="Arial" w:eastAsia="Arial" w:hAnsi="Arial"/>
          <w:sz w:val="24"/>
          <w:szCs w:val="24"/>
        </w:rPr>
        <w:t xml:space="preserve"> Through Stripe’s LLM proxy or supported partners (including OpenRouter), token usage is recorded and attributed to each customer without additional API calls from your application.</w:t>
      </w:r>
    </w:p>
    <w:p>
      <w:pPr>
        <w:spacing w:after="200"/>
      </w:pPr>
      <w:r>
        <w:rPr>
          <w:rFonts w:ascii="Arial" w:cs="Arial" w:eastAsia="Arial" w:hAnsi="Arial"/>
          <w:sz w:val="24"/>
          <w:szCs w:val="24"/>
        </w:rPr>
        <w:t xml:space="preserve">4. </w:t>
      </w:r>
      <w:r>
        <w:rPr>
          <w:rFonts w:ascii="Arial" w:cs="Arial" w:eastAsia="Arial" w:hAnsi="Arial"/>
          <w:b/>
          <w:bCs/>
          <w:sz w:val="24"/>
          <w:szCs w:val="24"/>
        </w:rPr>
        <w:t xml:space="preserve">Bills the customer.</w:t>
      </w:r>
      <w:r>
        <w:rPr>
          <w:rFonts w:ascii="Arial" w:cs="Arial" w:eastAsia="Arial" w:hAnsi="Arial"/>
          <w:sz w:val="24"/>
          <w:szCs w:val="24"/>
        </w:rPr>
        <w:t xml:space="preserve"> Stripe generates invoices that include the base subscription (e.g., PKR 500/month) plus any usage-based overage charges, with your margin built in.</w:t>
      </w:r>
    </w:p>
    <w:p>
      <w:pPr>
        <w:pStyle w:val="Heading2"/>
      </w:pPr>
      <w:r>
        <w:rPr>
          <w:rFonts w:ascii="Arial" w:cs="Arial" w:eastAsia="Arial" w:hAnsi="Arial"/>
        </w:rPr>
        <w:t xml:space="preserve">4.2 The Billing Architecture for TutorClaw</w:t>
      </w:r>
    </w:p>
    <w:p>
      <w:pPr>
        <w:spacing w:after="200"/>
      </w:pPr>
      <w:r>
        <w:rPr>
          <w:rFonts w:ascii="Arial" w:cs="Arial" w:eastAsia="Arial" w:hAnsi="Arial"/>
          <w:sz w:val="24"/>
          <w:szCs w:val="24"/>
        </w:rPr>
        <w:t xml:space="preserve">The flow integrates Stripe at two points:</w:t>
      </w:r>
    </w:p>
    <w:p>
      <w:pPr>
        <w:spacing w:after="200"/>
      </w:pPr>
      <w:r>
        <w:rPr>
          <w:rFonts w:ascii="Arial" w:cs="Arial" w:eastAsia="Arial" w:hAnsi="Arial"/>
          <w:sz w:val="24"/>
          <w:szCs w:val="24"/>
        </w:rPr>
        <w:t xml:space="preserve"/>
      </w:r>
      <w:r>
        <w:rPr>
          <w:rFonts w:ascii="Arial" w:cs="Arial" w:eastAsia="Arial" w:hAnsi="Arial"/>
          <w:b/>
          <w:bCs/>
          <w:sz w:val="24"/>
          <w:szCs w:val="24"/>
        </w:rPr>
        <w:t xml:space="preserve">At onboarding:</w:t>
      </w:r>
      <w:r>
        <w:rPr>
          <w:rFonts w:ascii="Arial" w:cs="Arial" w:eastAsia="Arial" w:hAnsi="Arial"/>
          <w:sz w:val="24"/>
          <w:szCs w:val="24"/>
        </w:rPr>
        <w:t xml:space="preserve"> The learner selects a tier on the book’s website. Stripe Checkout collects payment and creates a Customer object with a Subscription. The Customer ID is stored in TutorClaw’s learner database, linked to their WhatsApp number.</w:t>
      </w:r>
    </w:p>
    <w:p>
      <w:pPr>
        <w:spacing w:after="200"/>
      </w:pPr>
      <w:r>
        <w:rPr>
          <w:rFonts w:ascii="Arial" w:cs="Arial" w:eastAsia="Arial" w:hAnsi="Arial"/>
          <w:sz w:val="24"/>
          <w:szCs w:val="24"/>
        </w:rPr>
        <w:t xml:space="preserve"/>
      </w:r>
      <w:r>
        <w:rPr>
          <w:rFonts w:ascii="Arial" w:cs="Arial" w:eastAsia="Arial" w:hAnsi="Arial"/>
          <w:b/>
          <w:bCs/>
          <w:sz w:val="24"/>
          <w:szCs w:val="24"/>
        </w:rPr>
        <w:t xml:space="preserve">At every interaction:</w:t>
      </w:r>
      <w:r>
        <w:rPr>
          <w:rFonts w:ascii="Arial" w:cs="Arial" w:eastAsia="Arial" w:hAnsi="Arial"/>
          <w:sz w:val="24"/>
          <w:szCs w:val="24"/>
        </w:rPr>
        <w:t xml:space="preserve"> When TutorClaw calls OpenRouter with the learner’s message, OpenRouter reports the token usage to Stripe Token Billing, which attributes it to the learner’s Customer ID and applies the markup. At the end of the billing period, Stripe generates the invoice.</w:t>
      </w:r>
    </w:p>
    <w:p>
      <w:pPr>
        <w:spacing w:after="200"/>
      </w:pPr>
      <w:r>
        <w:rPr>
          <w:rFonts w:ascii="Arial" w:cs="Arial" w:eastAsia="Arial" w:hAnsi="Arial"/>
          <w:sz w:val="24"/>
          <w:szCs w:val="24"/>
        </w:rPr>
        <w:t xml:space="preserve">For free-tier users, no Stripe billing is needed—TutorClaw absorbs the cost (approximately PKR 1–2 per learner per day) as a customer acquisition cost.</w:t>
      </w:r>
    </w:p>
    <w:p>
      <w:pPr>
        <w:pStyle w:val="Heading2"/>
      </w:pPr>
      <w:r>
        <w:rPr>
          <w:rFonts w:ascii="Arial" w:cs="Arial" w:eastAsia="Arial" w:hAnsi="Arial"/>
        </w:rPr>
        <w:t xml:space="preserve">4.3 Pricing Model Options</w:t>
      </w:r>
    </w:p>
    <w:p>
      <w:pPr>
        <w:spacing w:after="200"/>
      </w:pPr>
      <w:r>
        <w:rPr>
          <w:rFonts w:ascii="Arial" w:cs="Arial" w:eastAsia="Arial" w:hAnsi="Arial"/>
          <w:sz w:val="24"/>
          <w:szCs w:val="24"/>
        </w:rPr>
        <w:t xml:space="preserve">Three pricing models are viable for TutorClaw, and Stripe supports all of them:</w:t>
      </w:r>
    </w:p>
    <w:p>
      <w:pPr>
        <w:spacing w:after="200"/>
      </w:pPr>
      <w:r>
        <w:rPr>
          <w:rFonts w:ascii="Arial" w:cs="Arial" w:eastAsia="Arial" w:hAnsi="Arial"/>
          <w:sz w:val="24"/>
          <w:szCs w:val="24"/>
        </w:rPr>
        <w:t xml:space="preserve"/>
      </w:r>
      <w:r>
        <w:rPr>
          <w:rFonts w:ascii="Arial" w:cs="Arial" w:eastAsia="Arial" w:hAnsi="Arial"/>
          <w:b/>
          <w:bCs/>
          <w:sz w:val="24"/>
          <w:szCs w:val="24"/>
        </w:rPr>
        <w:t xml:space="preserve">Flat subscription</w:t>
      </w:r>
      <w:r>
        <w:rPr>
          <w:rFonts w:ascii="Arial" w:cs="Arial" w:eastAsia="Arial" w:hAnsi="Arial"/>
          <w:sz w:val="24"/>
          <w:szCs w:val="24"/>
        </w:rPr>
        <w:t xml:space="preserve"> (simplest): PKR 500/month for paid, PKR 3,000/month for premium. The subscription price covers a generous token budget, and you absorb the variance. This is the easiest to communicate to learners in Pakistan, where usage-based pricing is unfamiliar.</w:t>
      </w:r>
    </w:p>
    <w:p>
      <w:pPr>
        <w:spacing w:after="200"/>
      </w:pPr>
      <w:r>
        <w:rPr>
          <w:rFonts w:ascii="Arial" w:cs="Arial" w:eastAsia="Arial" w:hAnsi="Arial"/>
          <w:sz w:val="24"/>
          <w:szCs w:val="24"/>
        </w:rPr>
        <w:t xml:space="preserve"/>
      </w:r>
      <w:r>
        <w:rPr>
          <w:rFonts w:ascii="Arial" w:cs="Arial" w:eastAsia="Arial" w:hAnsi="Arial"/>
          <w:b/>
          <w:bCs/>
          <w:sz w:val="24"/>
          <w:szCs w:val="24"/>
        </w:rPr>
        <w:t xml:space="preserve">Subscription + overage</w:t>
      </w:r>
      <w:r>
        <w:rPr>
          <w:rFonts w:ascii="Arial" w:cs="Arial" w:eastAsia="Arial" w:hAnsi="Arial"/>
          <w:sz w:val="24"/>
          <w:szCs w:val="24"/>
        </w:rPr>
        <w:t xml:space="preserve"> (balanced): Flat monthly fee includes a token budget (e.g., 50 exchanges/day). Beyond that, Stripe charges per-token at your markup. This protects you from power users who consume 10x the average while keeping the base price accessible.</w:t>
      </w:r>
    </w:p>
    <w:p>
      <w:pPr>
        <w:spacing w:after="200"/>
      </w:pPr>
      <w:r>
        <w:rPr>
          <w:rFonts w:ascii="Arial" w:cs="Arial" w:eastAsia="Arial" w:hAnsi="Arial"/>
          <w:sz w:val="24"/>
          <w:szCs w:val="24"/>
        </w:rPr>
        <w:t xml:space="preserve"/>
      </w:r>
      <w:r>
        <w:rPr>
          <w:rFonts w:ascii="Arial" w:cs="Arial" w:eastAsia="Arial" w:hAnsi="Arial"/>
          <w:b/>
          <w:bCs/>
          <w:sz w:val="24"/>
          <w:szCs w:val="24"/>
        </w:rPr>
        <w:t xml:space="preserve">Pure usage-based</w:t>
      </w:r>
      <w:r>
        <w:rPr>
          <w:rFonts w:ascii="Arial" w:cs="Arial" w:eastAsia="Arial" w:hAnsi="Arial"/>
          <w:sz w:val="24"/>
          <w:szCs w:val="24"/>
        </w:rPr>
        <w:t xml:space="preserve"> (transparent): No flat fee. Learners pay per exchange or per token with a markup. Stripe Token Billing automates this entirely. Best for corporate/training clients who want to pay only for what their employees actually use.</w:t>
      </w:r>
    </w:p>
    <w:p>
      <w:pPr>
        <w:spacing w:after="200"/>
      </w:pPr>
      <w:r>
        <w:rPr>
          <w:rFonts w:ascii="Arial" w:cs="Arial" w:eastAsia="Arial" w:hAnsi="Arial"/>
          <w:sz w:val="24"/>
          <w:szCs w:val="24"/>
        </w:rPr>
        <w:t xml:space="preserve">The recommended approach for Pakistan: </w:t>
      </w:r>
      <w:r>
        <w:rPr>
          <w:rFonts w:ascii="Arial" w:cs="Arial" w:eastAsia="Arial" w:hAnsi="Arial"/>
          <w:b/>
          <w:bCs/>
          <w:sz w:val="24"/>
          <w:szCs w:val="24"/>
        </w:rPr>
        <w:t xml:space="preserve">flat subscription for retail learners</w:t>
      </w:r>
      <w:r>
        <w:rPr>
          <w:rFonts w:ascii="Arial" w:cs="Arial" w:eastAsia="Arial" w:hAnsi="Arial"/>
          <w:sz w:val="24"/>
          <w:szCs w:val="24"/>
        </w:rPr>
        <w:t xml:space="preserve"> (simplicity wins in emerging markets) and </w:t>
      </w:r>
      <w:r>
        <w:rPr>
          <w:rFonts w:ascii="Arial" w:cs="Arial" w:eastAsia="Arial" w:hAnsi="Arial"/>
          <w:b/>
          <w:bCs/>
          <w:sz w:val="24"/>
          <w:szCs w:val="24"/>
        </w:rPr>
        <w:t xml:space="preserve">subscription + overage for corporate clients</w:t>
      </w:r>
      <w:r>
        <w:rPr>
          <w:rFonts w:ascii="Arial" w:cs="Arial" w:eastAsia="Arial" w:hAnsi="Arial"/>
          <w:sz w:val="24"/>
          <w:szCs w:val="24"/>
        </w:rPr>
        <w:t xml:space="preserve"> (finance teams demand usage transparency).</w:t>
      </w:r>
    </w:p>
    <w:p>
      <w:pPr>
        <w:pStyle w:val="Heading1"/>
      </w:pPr>
      <w:r>
        <w:rPr>
          <w:rFonts w:ascii="Arial" w:cs="Arial" w:eastAsia="Arial" w:hAnsi="Arial"/>
        </w:rPr>
        <w:t xml:space="preserve">5. The Full Economics Stack: Putting It Together</w:t>
      </w:r>
    </w:p>
    <w:p>
      <w:pPr>
        <w:spacing w:after="200"/>
      </w:pPr>
      <w:r>
        <w:rPr>
          <w:rFonts w:ascii="Arial" w:cs="Arial" w:eastAsia="Arial" w:hAnsi="Arial"/>
          <w:sz w:val="24"/>
          <w:szCs w:val="24"/>
        </w:rPr>
        <w:t xml:space="preserve">The complete Economics Stack for TutorClaw has five layers: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Provider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WhatsApp Business Cloud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Zero-friction messaging at scale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Gateway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LLM access, fallback, single billing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OpenRouter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 GPT / DeepSeek (tiered)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Pedagogical reasoning at each price point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via OpenRouter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Monetization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 Token Billing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margin-positive billing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 Checkout + Subscriptions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Subscription management, PKR processing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w:t>
            </w:r>
          </w:p>
        </w:tc>
      </w:tr>
    </w:tbl>
    <w:p>
      <w:pPr>
        <w:spacing w:after="100"/>
      </w:pPr>
    </w:p>
    <w:p>
      <w:pPr>
        <w:pStyle w:val="Heading2"/>
      </w:pPr>
      <w:r>
        <w:rPr>
          <w:rFonts w:ascii="Arial" w:cs="Arial" w:eastAsia="Arial" w:hAnsi="Arial"/>
        </w:rPr>
        <w:t xml:space="preserve">5.1 What You Build vs. What You Buy</w:t>
      </w:r>
    </w:p>
    <w:p>
      <w:pPr>
        <w:spacing w:after="200"/>
      </w:pPr>
      <w:r>
        <w:rPr>
          <w:rFonts w:ascii="Arial" w:cs="Arial" w:eastAsia="Arial" w:hAnsi="Arial"/>
          <w:sz w:val="24"/>
          <w:szCs w:val="24"/>
        </w:rPr>
        <w:t xml:space="preserve">The Economics Stack eliminates the following from your engineering scope: multi-provider API integration (OpenRouter), token usage tracking (OpenRouter + Stripe), margin calculation (Stripe), subscription management (Stripe), payment processing (Stripe), provider failover (OpenRouter), model price monitoring (Stripe).</w:t>
      </w:r>
    </w:p>
    <w:p>
      <w:pPr>
        <w:spacing w:after="200"/>
      </w:pPr>
      <w:r>
        <w:rPr>
          <w:rFonts w:ascii="Arial" w:cs="Arial" w:eastAsia="Arial" w:hAnsi="Arial"/>
          <w:sz w:val="24"/>
          <w:szCs w:val="24"/>
        </w:rPr>
        <w:t xml:space="preserve">Your engineering team focuses on the competitive advantage: the WhatsApp webhook integration, the learner session manager, the model router, the context engineering (your pedagogical prompts), the content store (your 30 chapters), and the admin dashboard. These are the things no one else can build because they encode your domain expertise.</w:t>
      </w:r>
    </w:p>
    <w:p>
      <w:pPr>
        <w:pStyle w:val="Heading2"/>
      </w:pPr>
      <w:r>
        <w:rPr>
          <w:rFonts w:ascii="Arial" w:cs="Arial" w:eastAsia="Arial" w:hAnsi="Arial"/>
        </w:rPr>
        <w:t xml:space="preserve">5.2 Unit Economics at Scale</w:t>
      </w:r>
    </w:p>
    <w:p>
      <w:pPr>
        <w:spacing w:after="200"/>
      </w:pPr>
      <w:r>
        <w:rPr>
          <w:rFonts w:ascii="Arial" w:cs="Arial" w:eastAsia="Arial" w:hAnsi="Arial"/>
          <w:sz w:val="24"/>
          <w:szCs w:val="24"/>
        </w:rPr>
        <w:t xml:space="preserve">Let us model TutorClaw’s unit economics with 16,000 active learners: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Learners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LLM Cost/Day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Revenue/Month</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LLM Cost/Month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(PKR 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Premium (PKR 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$10,500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$15,750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$11,880</w:t>
            </w:r>
          </w:p>
        </w:tc>
      </w:tr>
    </w:tbl>
    <w:p>
      <w:pPr>
        <w:spacing w:after="100"/>
      </w:pPr>
    </w:p>
    <w:p>
      <w:pPr>
        <w:spacing w:after="200"/>
      </w:pPr>
      <w:r>
        <w:rPr>
          <w:rFonts w:ascii="Arial" w:cs="Arial" w:eastAsia="Arial" w:hAnsi="Arial"/>
          <w:sz w:val="24"/>
          <w:szCs w:val="24"/>
        </w:rPr>
        <w:t xml:space="preserve">Monthly LLM cost: approximately $11,880. Monthly revenue: approximately $15,750. </w:t>
      </w:r>
      <w:r>
        <w:rPr>
          <w:rFonts w:ascii="Arial" w:cs="Arial" w:eastAsia="Arial" w:hAnsi="Arial"/>
          <w:b/>
          <w:bCs/>
          <w:sz w:val="24"/>
          <w:szCs w:val="24"/>
        </w:rPr>
        <w:t xml:space="preserve">Gross margin on LLM costs: ~24%.</w:t>
      </w:r>
      <w:r>
        <w:rPr>
          <w:rFonts w:ascii="Arial" w:cs="Arial" w:eastAsia="Arial" w:hAnsi="Arial"/>
          <w:sz w:val="24"/>
          <w:szCs w:val="24"/>
        </w:rPr>
        <w:t xml:space="preserve"> This is tight but viable—and it improves as the paid/premium conversion rate increases beyond the conservative 25%/6% assumed here.</w:t>
      </w:r>
    </w:p>
    <w:p>
      <w:pPr>
        <w:spacing w:after="200"/>
      </w:pPr>
      <w:r>
        <w:rPr>
          <w:rFonts w:ascii="Arial" w:cs="Arial" w:eastAsia="Arial" w:hAnsi="Arial"/>
          <w:sz w:val="24"/>
          <w:szCs w:val="24"/>
        </w:rPr>
        <w:t xml:space="preserve">Infrastructure costs (WhatsApp Cloud API, server hosting, OpenRouter fee, Stripe fee) add approximately $500–$1,000/month. The free tier’s $2,880/month LLM cost is the customer acquisition cost—justifiable if even 5% of free users convert to paid within three months.</w:t>
      </w:r>
    </w:p>
    <w:p>
      <w:pPr>
        <w:pStyle w:val="Heading1"/>
      </w:pPr>
      <w:r>
        <w:rPr>
          <w:rFonts w:ascii="Arial" w:cs="Arial" w:eastAsia="Arial" w:hAnsi="Arial"/>
        </w:rPr>
        <w:t xml:space="preserve">6. Agents as Economic Actors: The Thesis in Practice</w:t>
      </w:r>
    </w:p>
    <w:p>
      <w:pPr>
        <w:spacing w:after="200"/>
      </w:pPr>
      <w:r>
        <w:rPr>
          <w:rFonts w:ascii="Arial" w:cs="Arial" w:eastAsia="Arial" w:hAnsi="Arial"/>
          <w:sz w:val="24"/>
          <w:szCs w:val="24"/>
        </w:rPr>
        <w:t xml:space="preserve">TutorClaw is the Agent Factory thesis made manifest. Let us trace how each concept from the thesis maps to the economics of a real AI product:</w:t>
      </w:r>
    </w:p>
    <w:p>
      <w:pPr>
        <w:spacing w:after="200"/>
      </w:pPr>
      <w:r>
        <w:rPr>
          <w:rFonts w:ascii="Arial" w:cs="Arial" w:eastAsia="Arial" w:hAnsi="Arial"/>
          <w:sz w:val="24"/>
          <w:szCs w:val="24"/>
        </w:rPr>
        <w:t xml:space="preserve"/>
      </w:r>
      <w:r>
        <w:rPr>
          <w:rFonts w:ascii="Arial" w:cs="Arial" w:eastAsia="Arial" w:hAnsi="Arial"/>
          <w:b/>
          <w:bCs/>
          <w:sz w:val="24"/>
          <w:szCs w:val="24"/>
        </w:rPr>
        <w:t xml:space="preserve">Digital FTE.</w:t>
      </w:r>
      <w:r>
        <w:rPr>
          <w:rFonts w:ascii="Arial" w:cs="Arial" w:eastAsia="Arial" w:hAnsi="Arial"/>
          <w:sz w:val="24"/>
          <w:szCs w:val="24"/>
        </w:rPr>
        <w:t xml:space="preserve"> TutorClaw is a Digital Full-Time Equivalent: an AI agent that does the work of dozens of human tutors, available 24/7, in the learner’s pocket. It costs approximately $12,000/month to run—a fraction of what even a single full-time tutor costs in Pakistan (PKR 80,000–150,000/month for a qualified instructor, serving perhaps 30 students).</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Factory Layer.</w:t>
      </w:r>
      <w:r>
        <w:rPr>
          <w:rFonts w:ascii="Arial" w:cs="Arial" w:eastAsia="Arial" w:hAnsi="Arial"/>
          <w:sz w:val="24"/>
          <w:szCs w:val="24"/>
        </w:rPr>
        <w:t xml:space="preserve"> The combination of OpenRouter (model gateway), Stripe (monetization), WhatsApp Cloud API (delivery), and the pedagogical framework (domain intelligence) is the Factory. It produces and operates the Digital FTE. No single component is the product; the product emerges from their composition.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Edge Layer.</w:t>
      </w:r>
      <w:r>
        <w:rPr>
          <w:rFonts w:ascii="Arial" w:cs="Arial" w:eastAsia="Arial" w:hAnsi="Arial"/>
          <w:sz w:val="24"/>
          <w:szCs w:val="24"/>
        </w:rPr>
        <w:t xml:space="preserve"> Each learner’s TutorClaw instance—their personalized context, chapter position, confidence scores, conversation history—is the Edge. The intelligence is centralized (Claude via OpenRouter); the personalization is at the edge (per-learner state in PostgreSQL).</w:t>
      </w:r>
    </w:p>
    <w:p>
      <w:pPr>
        <w:spacing w:after="200"/>
      </w:pPr>
      <w:r>
        <w:rPr>
          <w:rFonts w:ascii="Arial" w:cs="Arial" w:eastAsia="Arial" w:hAnsi="Arial"/>
          <w:sz w:val="24"/>
          <w:szCs w:val="24"/>
        </w:rPr>
        <w:t xml:space="preserve"/>
      </w:r>
      <w:r>
        <w:rPr>
          <w:rFonts w:ascii="Arial" w:cs="Arial" w:eastAsia="Arial" w:hAnsi="Arial"/>
          <w:b/>
          <w:bCs/>
          <w:sz w:val="24"/>
          <w:szCs w:val="24"/>
        </w:rPr>
        <w:t xml:space="preserve">Agents as Economic Actors.</w:t>
      </w:r>
      <w:r>
        <w:rPr>
          <w:rFonts w:ascii="Arial" w:cs="Arial" w:eastAsia="Arial" w:hAnsi="Arial"/>
          <w:sz w:val="24"/>
          <w:szCs w:val="24"/>
        </w:rPr>
        <w:t xml:space="preserve"> TutorClaw generates revenue. It has a cost structure (LLM tokens), a revenue structure (subscriptions + usage), and a margin. It can be modeled, optimized, and scaled like any economic entity. When we say “Agents as Economic Actors,” this is what we mean: the agent is not a tool that helps a human do economic work; the agent itself is the economic actor, creating and capturing value autonomously.</w:t>
      </w:r>
    </w:p>
    <w:p>
      <w:pPr>
        <w:pStyle w:val="Heading1"/>
      </w:pPr>
      <w:r>
        <w:rPr>
          <w:rFonts w:ascii="Arial" w:cs="Arial" w:eastAsia="Arial" w:hAnsi="Arial"/>
        </w:rPr>
        <w:t xml:space="preserve">7. Exercises and Reflection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1: Build a Model Router.</w:t>
      </w:r>
      <w:r>
        <w:rPr>
          <w:rFonts w:ascii="Arial" w:cs="Arial" w:eastAsia="Arial" w:hAnsi="Arial"/>
          <w:sz w:val="24"/>
          <w:szCs w:val="24"/>
        </w:rPr>
        <w:t xml:space="preserve"> Using OpenRouter’s API, build a Python function that takes a user message, a user tier (free/paid/premium), and a complexity score, and returns the appropriate model string. Test it with 20 sample messages of varying complexity.</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2: Calculate Your Product’s Unit Economics.</w:t>
      </w:r>
      <w:r>
        <w:rPr>
          <w:rFonts w:ascii="Arial" w:cs="Arial" w:eastAsia="Arial" w:hAnsi="Arial"/>
          <w:sz w:val="24"/>
          <w:szCs w:val="24"/>
        </w:rPr>
        <w:t xml:space="preserve"> Choose an AI product idea (a coding assistant, a customer support agent, a content generator). Using the pricing table from Section 1, calculate the LLM cost per user per day for three tiers. Determine what subscription price would give you a 30% gross margin at each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3: Stripe Integration.</w:t>
      </w:r>
      <w:r>
        <w:rPr>
          <w:rFonts w:ascii="Arial" w:cs="Arial" w:eastAsia="Arial" w:hAnsi="Arial"/>
          <w:sz w:val="24"/>
          <w:szCs w:val="24"/>
        </w:rPr>
        <w:t xml:space="preserve"> Using Stripe’s test mode, create a subscription product with three tiers. Implement a webhook that records mock token usage against a customer. Calculate the invoice amount with a 40% markup.</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4: The DeepSeek Question.</w:t>
      </w:r>
      <w:r>
        <w:rPr>
          <w:rFonts w:ascii="Arial" w:cs="Arial" w:eastAsia="Arial" w:hAnsi="Arial"/>
          <w:sz w:val="24"/>
          <w:szCs w:val="24"/>
        </w:rPr>
        <w:t xml:space="preserve"> DeepSeek V3.2 is dramatically cheaper than alternatives but is a Chinese company with occasional service interruptions. Research the current geopolitical and reliability considerations. Write a one-page analysis of whether you would use DeepSeek as a primary model for a healthcare AI product, a consumer entertainment product, and an educational product. Justify each decision.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Reflection: The Economics of Free.</w:t>
      </w:r>
      <w:r>
        <w:rPr>
          <w:rFonts w:ascii="Arial" w:cs="Arial" w:eastAsia="Arial" w:hAnsi="Arial"/>
          <w:sz w:val="24"/>
          <w:szCs w:val="24"/>
        </w:rPr>
        <w:t xml:space="preserve"> TutorClaw’s free tier costs approximately $2,880/month in LLM costs for 12,000 users. Is this justified? What conversion rate from free to paid would make it worthwhile? At what point should you cap the free tier or remove it entirely? There is no single right answer—but your reasoning must account for customer acquisition cost, lifetime value, and the network effects of a large user base.</w:t>
      </w:r>
    </w:p>
    <w:p>
      <w:pPr>
        <w:pStyle w:val="Heading1"/>
      </w:pPr>
      <w:r>
        <w:rPr>
          <w:rFonts w:ascii="Arial" w:cs="Arial" w:eastAsia="Arial" w:hAnsi="Arial"/>
        </w:rPr>
        <w:t xml:space="preserve">8. Chapter Summary</w:t>
      </w:r>
    </w:p>
    <w:p>
      <w:pPr>
        <w:spacing w:after="200"/>
      </w:pPr>
      <w:r>
        <w:rPr>
          <w:rFonts w:ascii="Arial" w:cs="Arial" w:eastAsia="Arial" w:hAnsi="Arial"/>
          <w:sz w:val="24"/>
          <w:szCs w:val="24"/>
        </w:rPr>
        <w:t xml:space="preserve">The Economics Stack is the layer that turns an AI agent from a cost center into a profit center. Its components are:</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OpenRouter</w:t>
      </w:r>
      <w:r>
        <w:rPr>
          <w:rFonts w:ascii="Arial" w:cs="Arial" w:eastAsia="Arial" w:hAnsi="Arial"/>
          <w:sz w:val="24"/>
          <w:szCs w:val="24"/>
        </w:rPr>
        <w:t xml:space="preserve"> as the model gateway—providing unified access to 290+ models, automatic fallback, and consolidated billing through a single API endpoint.</w:t>
      </w:r>
    </w:p>
    <w:p>
      <w:pPr>
        <w:spacing w:after="200"/>
      </w:pPr>
      <w:r>
        <w:rPr>
          <w:rFonts w:ascii="Arial" w:cs="Arial" w:eastAsia="Arial" w:hAnsi="Arial"/>
          <w:sz w:val="24"/>
          <w:szCs w:val="24"/>
        </w:rPr>
        <w:t xml:space="preserve"/>
      </w:r>
      <w:r>
        <w:rPr>
          <w:rFonts w:ascii="Arial" w:cs="Arial" w:eastAsia="Arial" w:hAnsi="Arial"/>
          <w:b/>
          <w:bCs/>
          <w:sz w:val="24"/>
          <w:szCs w:val="24"/>
        </w:rPr>
        <w:t xml:space="preserve">Tiered model routing</w:t>
      </w:r>
      <w:r>
        <w:rPr>
          <w:rFonts w:ascii="Arial" w:cs="Arial" w:eastAsia="Arial" w:hAnsi="Arial"/>
          <w:sz w:val="24"/>
          <w:szCs w:val="24"/>
        </w:rPr>
        <w:t xml:space="preserve"> as the cost-optimization pattern—matching model capability to task value, not just minimizing per-token cost. The Router is a product design tool, not just a cost-cutting mechanism.</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Stripe Token Billing</w:t>
      </w:r>
      <w:r>
        <w:rPr>
          <w:rFonts w:ascii="Arial" w:cs="Arial" w:eastAsia="Arial" w:hAnsi="Arial"/>
          <w:sz w:val="24"/>
          <w:szCs w:val="24"/>
        </w:rPr>
        <w:t xml:space="preserve"> as the monetization layer—automatically syncing model prices, tracking usage, applying margins, and generating invoices.</w:t>
      </w:r>
    </w:p>
    <w:p>
      <w:pPr>
        <w:spacing w:after="200"/>
      </w:pPr>
      <w:r>
        <w:rPr>
          <w:rFonts w:ascii="Arial" w:cs="Arial" w:eastAsia="Arial" w:hAnsi="Arial"/>
          <w:sz w:val="24"/>
          <w:szCs w:val="24"/>
        </w:rPr>
        <w:t xml:space="preserve"/>
      </w:r>
      <w:r>
        <w:rPr>
          <w:rFonts w:ascii="Arial" w:cs="Arial" w:eastAsia="Arial" w:hAnsi="Arial"/>
          <w:b/>
          <w:bCs/>
          <w:sz w:val="24"/>
          <w:szCs w:val="24"/>
        </w:rPr>
        <w:t xml:space="preserve">Subscription + usage pricing</w:t>
      </w:r>
      <w:r>
        <w:rPr>
          <w:rFonts w:ascii="Arial" w:cs="Arial" w:eastAsia="Arial" w:hAnsi="Arial"/>
          <w:sz w:val="24"/>
          <w:szCs w:val="24"/>
        </w:rPr>
        <w:t xml:space="preserve"> as the business model—flat fees for predictability, usage charges for fairness, and a free tier as a conversion funnel.</w:t>
      </w:r>
    </w:p>
    <w:p>
      <w:pPr>
        <w:spacing w:after="200"/>
      </w:pPr>
      <w:r>
        <w:rPr>
          <w:rFonts w:ascii="Arial" w:cs="Arial" w:eastAsia="Arial" w:hAnsi="Arial"/>
          <w:sz w:val="24"/>
          <w:szCs w:val="24"/>
        </w:rPr>
        <w:t xml:space="preserve">The key lesson: </w:t>
      </w:r>
      <w:r>
        <w:rPr>
          <w:rFonts w:ascii="Arial" w:cs="Arial" w:eastAsia="Arial" w:hAnsi="Arial"/>
          <w:b/>
          <w:bCs/>
          <w:sz w:val="24"/>
          <w:szCs w:val="24"/>
        </w:rPr>
        <w:t xml:space="preserve">the intelligence is in the context engineering, not in the infrastructure.</w:t>
      </w:r>
      <w:r>
        <w:rPr>
          <w:rFonts w:ascii="Arial" w:cs="Arial" w:eastAsia="Arial" w:hAnsi="Arial"/>
          <w:sz w:val="24"/>
          <w:szCs w:val="24"/>
        </w:rPr>
        <w:t xml:space="preserve"> OpenRouter, Stripe, and WhatsApp Cloud API are commodity services anyone can use. Your competitive moat is the domain expertise encoded in your system prompts, your pedagogical framework, your content, and your understanding of your users. Build on commodities. Compete on intelligence.</w:t>
      </w:r>
    </w:p>
    <w:p>
      <w:pPr>
        <w:spacing w:after="200"/>
      </w:pPr>
      <w:r>
        <w:rPr>
          <w:rFonts w:ascii="Arial" w:cs="Arial" w:eastAsia="Arial" w:hAnsi="Arial"/>
          <w:sz w:val="24"/>
          <w:szCs w:val="24"/>
        </w:rPr>
        <w:t xml:space="preserve">In the next chapter, we will build the TutorClaw Router and Context Engine—the actual code that assembles the perfect prompt for each learner at each moment in their educational journey.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Agent Factory | The Economics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2026-03-18T02:57:00.177Z</dcterms:created>
  <dcterms:modified xsi:type="dcterms:W3CDTF">2026-03-18T02:57:00.178Z</dcterms:modified>
</cp:coreProperties>
</file>

<file path=docProps/custom.xml><?xml version="1.0" encoding="utf-8"?>
<Properties xmlns="http://schemas.openxmlformats.org/officeDocument/2006/custom-properties" xmlns:vt="http://schemas.openxmlformats.org/officeDocument/2006/docPropsVTypes"/>
</file>