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jc w:val="center"/>
      </w:pPr>
      <w:r>
        <w:rPr>
          <w:rFonts w:ascii="Arial" w:cs="Arial" w:eastAsia="Arial" w:hAnsi="Arial"/>
          <w:color w:val="888888"/>
          <w:sz w:val="28"/>
          <w:szCs w:val="28"/>
        </w:rPr>
        <w:t xml:space="preserve">The AI Agent Factory — Part 5: Building the Agent Factory</w:t>
      </w:r>
    </w:p>
    <w:p>
      <w:pPr>
        <w:spacing w:after="100"/>
      </w:pPr>
    </w:p>
    <w:p>
      <w:pPr>
        <w:spacing w:after="200"/>
        <w:jc w:val="center"/>
      </w:pPr>
      <w:r>
        <w:rPr>
          <w:rFonts w:ascii="Arial" w:cs="Arial" w:eastAsia="Arial" w:hAnsi="Arial"/>
          <w:b/>
          <w:bCs/>
          <w:color w:val="1B3A5C"/>
          <w:sz w:val="72"/>
          <w:szCs w:val="72"/>
        </w:rPr>
        <w:t xml:space="preserve">The Economics Stack</w:t>
      </w:r>
    </w:p>
    <w:p>
      <w:pPr>
        <w:spacing w:after="200"/>
        <w:jc w:val="center"/>
      </w:pPr>
      <w:r>
        <w:rPr>
          <w:rFonts w:ascii="Arial" w:cs="Arial" w:eastAsia="Arial" w:hAnsi="Arial"/>
          <w:color w:val="444444"/>
          <w:sz w:val="36"/>
          <w:szCs w:val="36"/>
        </w:rPr>
        <w:t xml:space="preserve">How to Build a Profitable AI Product</w:t>
      </w:r>
    </w:p>
    <w:p>
      <w:pPr>
        <w:spacing w:after="100"/>
        <w:jc w:val="center"/>
      </w:pPr>
      <w:r>
        <w:rPr>
          <w:rFonts w:ascii="Arial" w:cs="Arial" w:eastAsia="Arial" w:hAnsi="Arial"/>
          <w:color w:val="2E75B6"/>
          <w:sz w:val="28"/>
          <w:szCs w:val="28"/>
        </w:rPr>
        <w:t xml:space="preserve">MCP-First Edition</w:t>
      </w:r>
    </w:p>
    <w:p>
      <w:pPr>
        <w:spacing w:after="100"/>
      </w:pPr>
    </w:p>
    <w:p>
      <w:pPr>
        <w:spacing w:after="100"/>
      </w:pPr>
    </w:p>
    <w:p>
      <w:pPr>
        <w:spacing w:after="100"/>
      </w:pPr>
    </w:p>
    <w:p>
      <w:pPr>
        <w:jc w:val="center"/>
      </w:pPr>
      <w:r>
        <w:rPr>
          <w:rFonts w:ascii="Arial" w:cs="Arial" w:eastAsia="Arial" w:hAnsi="Arial"/>
          <w:b/>
          <w:bCs/>
          <w:sz w:val="28"/>
          <w:szCs w:val="28"/>
        </w:rPr>
        <w:t xml:space="preserve">Zia Khan</w:t>
      </w:r>
    </w:p>
    <w:p>
      <w:pPr>
        <w:jc w:val="center"/>
      </w:pPr>
      <w:r>
        <w:rPr>
          <w:rFonts w:ascii="Arial" w:cs="Arial" w:eastAsia="Arial" w:hAnsi="Arial"/>
          <w:color w:val="2E75B6"/>
          <w:sz w:val="24"/>
          <w:szCs w:val="24"/>
        </w:rPr>
        <w:t xml:space="preserve">agentfactory.panaversity.org</w:t>
      </w:r>
    </w:p>
    <w:p>
      <w:r>
        <w:br w:type="page"/>
      </w:r>
    </w:p>
    <w:p>
      <w:pPr>
        <w:pStyle w:val="Heading1"/>
      </w:pPr>
      <w:r>
        <w:rPr>
          <w:rFonts w:ascii="Arial" w:cs="Arial" w:eastAsia="Arial" w:hAnsi="Arial"/>
        </w:rPr>
        <w:t xml:space="preserve">Chapter Introduction</w:t>
      </w:r>
    </w:p>
    <w:p>
      <w:pPr>
        <w:spacing w:after="200"/>
      </w:pPr>
      <w:r>
        <w:rPr>
          <w:rFonts w:ascii="Arial" w:cs="Arial" w:eastAsia="Arial" w:hAnsi="Arial"/>
          <w:i/>
          <w:iCs/>
          <w:sz w:val="24"/>
          <w:szCs w:val="24"/>
        </w:rPr>
        <w:t xml:space="preserve">“Every carpenter can now be an architect.” — Jensen Huang, GTC 2026</w:t>
      </w:r>
    </w:p>
    <w:p>
      <w:pPr>
        <w:spacing w:after="100"/>
      </w:pPr>
    </w:p>
    <w:p>
      <w:pPr>
        <w:spacing w:after="200"/>
      </w:pPr>
      <w:r>
        <w:rPr>
          <w:rFonts w:ascii="Arial" w:cs="Arial" w:eastAsia="Arial" w:hAnsi="Arial"/>
          <w:sz w:val="24"/>
          <w:szCs w:val="24"/>
        </w:rPr>
        <w:t xml:space="preserve">Building an AI agent is the easy part. Making it profitable is where most projects die.</w:t>
      </w:r>
    </w:p>
    <w:p>
      <w:pPr>
        <w:spacing w:after="200"/>
      </w:pPr>
      <w:r>
        <w:rPr>
          <w:rFonts w:ascii="Arial" w:cs="Arial" w:eastAsia="Arial" w:hAnsi="Arial"/>
          <w:sz w:val="24"/>
          <w:szCs w:val="24"/>
        </w:rPr>
        <w:t xml:space="preserve">Throughout this book, we have built Digital FTEs—autonomous AI agents that do real work. We gave them bodies (OpenClaw as the platform), brains (LLM intelligence via the learner’s own API key), skills (PRIMM-AI+ pedagogical framework delivered through an MCP server), and content (30 chapters served from Cloudflare R2). But a Digital FTE that costs more to run than the value it creates is not a product—it is a science experiment.</w:t>
      </w:r>
    </w:p>
    <w:p>
      <w:pPr>
        <w:spacing w:after="200"/>
      </w:pPr>
      <w:r>
        <w:rPr>
          <w:rFonts w:ascii="Arial" w:cs="Arial" w:eastAsia="Arial" w:hAnsi="Arial"/>
          <w:sz w:val="24"/>
          <w:szCs w:val="24"/>
        </w:rPr>
        <w:t xml:space="preserve">This chapter teaches you the Economics Stack: the tools, patterns, and decisions that turn an AI agent from a cost center into a profit center. We use TutorClaw—the 24/7 AI tutor for this book—as our running example. TutorClaw’s MCP-first architecture achieves something remarkable: a global educational platform running on $50–70/month of infrastructure with 99.5% gross margins. This chapter explains exactly how.</w:t>
      </w:r>
    </w:p>
    <w:p>
      <w:pPr>
        <w:pStyle w:val="Heading1"/>
      </w:pPr>
      <w:r>
        <w:rPr>
          <w:rFonts w:ascii="Arial" w:cs="Arial" w:eastAsia="Arial" w:hAnsi="Arial"/>
        </w:rPr>
        <w:t xml:space="preserve">1. The Great Inversion: Who Pays for Compute?</w:t>
      </w:r>
    </w:p>
    <w:p>
      <w:pPr>
        <w:spacing w:after="200"/>
      </w:pPr>
      <w:r>
        <w:rPr>
          <w:rFonts w:ascii="Arial" w:cs="Arial" w:eastAsia="Arial" w:hAnsi="Arial"/>
          <w:sz w:val="24"/>
          <w:szCs w:val="24"/>
        </w:rPr>
        <w:t xml:space="preserve">In traditional SaaS, the operator pays for compute and passes the cost to customers through subscription fees. In AI products, this creates a painful dynamic: your costs are variable (every user interaction consumes LLM tokens), but your customers expect predictable pricing. The more popular your product, the faster you burn cash.</w:t>
      </w:r>
    </w:p>
    <w:p>
      <w:pPr>
        <w:spacing w:after="200"/>
      </w:pPr>
      <w:r>
        <w:rPr>
          <w:rFonts w:ascii="Arial" w:cs="Arial" w:eastAsia="Arial" w:hAnsi="Arial"/>
          <w:sz w:val="24"/>
          <w:szCs w:val="24"/>
        </w:rPr>
        <w:t xml:space="preserve">Architecture 4 inverts this entirely. The learner runs OpenClaw on their own machine and uses their own LLM API key. Panaversity’s TutorClaw MCP server provides pedagogical intelligence, but the expensive part—the LLM inference—runs on the learner’s account. This is the Great Inversion: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Component</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Traditional SaaS</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TutorClaw (Architecture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tokens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 pays ($12,000/mo at scale)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 pays ($0 to operator)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 provisions servers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Learner’s machine runs OpenClaw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 runs WhatsApp Business API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Learner’s OpenClaw handles WhatsApp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Intelligence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Operator’s server (API calls)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Operator’s MCP server ($40–60/mo)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Operator’s CDN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 (free tier)</w:t>
            </w:r>
          </w:p>
        </w:tc>
      </w:tr>
    </w:tbl>
    <w:p>
      <w:pPr>
        <w:spacing w:after="100"/>
      </w:pPr>
    </w:p>
    <w:p>
      <w:pPr>
        <w:spacing w:after="200"/>
      </w:pPr>
      <w:r>
        <w:rPr>
          <w:rFonts w:ascii="Arial" w:cs="Arial" w:eastAsia="Arial" w:hAnsi="Arial"/>
          <w:sz w:val="24"/>
          <w:szCs w:val="24"/>
        </w:rPr>
        <w:t xml:space="preserve">The result: Panaversity’s operating cost for 16,000 learners is approximately $50–70/month, not $12,000–14,000/month. The LLM cost—which consumed 90% of the budget in every previous architecture—simply disappears from Panaversity’s balance sheet.</w:t>
      </w:r>
    </w:p>
    <w:p>
      <w:pPr>
        <w:spacing w:after="200"/>
      </w:pPr>
      <w:r>
        <w:rPr>
          <w:rFonts w:ascii="Arial" w:cs="Arial" w:eastAsia="Arial" w:hAnsi="Arial"/>
          <w:sz w:val="24"/>
          <w:szCs w:val="24"/>
        </w:rPr>
        <w:t xml:space="preserve">This is not a compromise. The learner gets a better experience—they choose their preferred LLM, they control their data, and their tutor runs 24/7 on their own infrastructure. Panaversity gets a better business model—near-zero operating costs with subscription revenue for premium intelligence.</w:t>
      </w:r>
    </w:p>
    <w:p>
      <w:pPr>
        <w:pStyle w:val="Heading1"/>
      </w:pPr>
      <w:r>
        <w:rPr>
          <w:rFonts w:ascii="Arial" w:cs="Arial" w:eastAsia="Arial" w:hAnsi="Arial"/>
        </w:rPr>
        <w:t xml:space="preserve">2. The LLM Pricing Landscape</w:t>
      </w:r>
    </w:p>
    <w:p>
      <w:pPr>
        <w:spacing w:after="200"/>
      </w:pPr>
      <w:r>
        <w:rPr>
          <w:rFonts w:ascii="Arial" w:cs="Arial" w:eastAsia="Arial" w:hAnsi="Arial"/>
          <w:sz w:val="24"/>
          <w:szCs w:val="24"/>
        </w:rPr>
        <w:t xml:space="preserve">Even though TutorClaw’s operator doesn’t pay for LLM tokens, understanding pricing is essential because it affects the learner’s experience and willingness to pay for your product. If your free-tier tutor burns $5/day in tokens, learners on budget API keys will abandon it.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Input/1M tokens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Output/1M tokens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Tier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Opus 4.6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 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GPT-5.4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GPT-5.4 mini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DeepSeek V3.2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GPT-5 Nano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Ultra-low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DeepSeek V3.2 (cache hit)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Near-free</w:t>
            </w:r>
          </w:p>
        </w:tc>
      </w:tr>
    </w:tbl>
    <w:p>
      <w:pPr>
        <w:spacing w:after="100"/>
      </w:pPr>
    </w:p>
    <w:p>
      <w:pPr>
        <w:spacing w:after="200"/>
      </w:pPr>
      <w:r>
        <w:rPr>
          <w:rFonts w:ascii="Arial" w:cs="Arial" w:eastAsia="Arial" w:hAnsi="Arial"/>
          <w:sz w:val="24"/>
          <w:szCs w:val="24"/>
        </w:rPr>
        <w:t xml:space="preserve">Claude Sonnet output costs $15/M tokens. GPT-5 Nano costs $0.40/M. That is a </w:t>
      </w:r>
      <w:r>
        <w:rPr>
          <w:rFonts w:ascii="Arial" w:cs="Arial" w:eastAsia="Arial" w:hAnsi="Arial"/>
          <w:b/>
          <w:bCs/>
          <w:sz w:val="24"/>
          <w:szCs w:val="24"/>
        </w:rPr>
        <w:t xml:space="preserve">37x difference.</w:t>
      </w:r>
      <w:r>
        <w:rPr>
          <w:rFonts w:ascii="Arial" w:cs="Arial" w:eastAsia="Arial" w:hAnsi="Arial"/>
          <w:sz w:val="24"/>
          <w:szCs w:val="24"/>
        </w:rPr>
        <w:t xml:space="preserve"> In Architecture 4, the learner chooses their model in OpenClaw. TutorClaw’s shim skill documentation recommends models by use case: Claude Sonnet for best pedagogical quality, GPT-5.4 mini for cost-effectiveness, DeepSeek for budget. The MCP server’s pedagogical guidance works with any model—it returns structured instructions that even weak models can follow, because OpenClaw’s runtime handles the MCP tool calls, not the LLM.</w:t>
      </w:r>
    </w:p>
    <w:p>
      <w:pPr>
        <w:pStyle w:val="Heading2"/>
      </w:pPr>
      <w:r>
        <w:rPr>
          <w:rFonts w:ascii="Arial" w:cs="Arial" w:eastAsia="Arial" w:hAnsi="Arial"/>
        </w:rPr>
        <w:t xml:space="preserve">2.1 Cost Per Accepted Output</w:t>
      </w:r>
    </w:p>
    <w:p>
      <w:pPr>
        <w:spacing w:after="200"/>
      </w:pPr>
      <w:r>
        <w:rPr>
          <w:rFonts w:ascii="Arial" w:cs="Arial" w:eastAsia="Arial" w:hAnsi="Arial"/>
          <w:sz w:val="24"/>
          <w:szCs w:val="24"/>
        </w:rPr>
        <w:t xml:space="preserve">The naive metric is cost per token. The correct metric is:</w:t>
      </w:r>
    </w:p>
    <w:p>
      <w:pPr>
        <w:spacing w:after="200"/>
      </w:pPr>
      <w:r>
        <w:rPr>
          <w:rFonts w:ascii="Arial" w:cs="Arial" w:eastAsia="Arial" w:hAnsi="Arial"/>
          <w:sz w:val="24"/>
          <w:szCs w:val="24"/>
        </w:rPr>
        <w:t xml:space="preserve"/>
      </w:r>
      <w:r>
        <w:rPr>
          <w:rFonts w:ascii="Arial" w:cs="Arial" w:eastAsia="Arial" w:hAnsi="Arial"/>
          <w:b/>
          <w:bCs/>
          <w:sz w:val="24"/>
          <w:szCs w:val="24"/>
        </w:rPr>
        <w:t xml:space="preserve">Cost Per Accepted Output = (Token Cost + Human Correction Cost) / Accepted Outputs</w:t>
      </w:r>
      <w:r>
        <w:rPr>
          <w:rFonts w:ascii="Arial" w:cs="Arial" w:eastAsia="Arial" w:hAnsi="Arial"/>
          <w:sz w:val="24"/>
          <w:szCs w:val="24"/>
        </w:rPr>
        <w:t xml:space="preserve"/>
      </w:r>
    </w:p>
    <w:p>
      <w:pPr>
        <w:spacing w:after="200"/>
      </w:pPr>
      <w:r>
        <w:rPr>
          <w:rFonts w:ascii="Arial" w:cs="Arial" w:eastAsia="Arial" w:hAnsi="Arial"/>
          <w:sz w:val="24"/>
          <w:szCs w:val="24"/>
        </w:rPr>
        <w:t xml:space="preserve">A $0.40/M model that produces wrong pedagogical guidance 40% of the time is more expensive than a $15/M model that gets it right on the first try—if the learner loses trust and stops using the tutor. For TutorClaw, the MCP server’s structured tool responses mitigate this: even when a weak LLM generates imperfect natural language, the underlying pedagogical structure (which chapter, which PRIMM stage, which exercise) comes from the server, not the model.</w:t>
      </w:r>
    </w:p>
    <w:p>
      <w:pPr>
        <w:pStyle w:val="Heading1"/>
      </w:pPr>
      <w:r>
        <w:rPr>
          <w:rFonts w:ascii="Arial" w:cs="Arial" w:eastAsia="Arial" w:hAnsi="Arial"/>
        </w:rPr>
        <w:t xml:space="preserve">3. The MCP-First Economics Model</w:t>
      </w:r>
    </w:p>
    <w:p>
      <w:pPr>
        <w:spacing w:after="200"/>
      </w:pPr>
      <w:r>
        <w:rPr>
          <w:rFonts w:ascii="Arial" w:cs="Arial" w:eastAsia="Arial" w:hAnsi="Arial"/>
          <w:sz w:val="24"/>
          <w:szCs w:val="24"/>
        </w:rPr>
        <w:t xml:space="preserve">Architecture 4’s economics have three components: the MCP server (Panaversity’s cost), Cloudflare R2 (Panaversity’s content delivery), and the learner’s own OpenClaw + LLM (the learner’s cost).</w:t>
      </w:r>
    </w:p>
    <w:p>
      <w:pPr>
        <w:pStyle w:val="Heading2"/>
      </w:pPr>
      <w:r>
        <w:rPr>
          <w:rFonts w:ascii="Arial" w:cs="Arial" w:eastAsia="Arial" w:hAnsi="Arial"/>
        </w:rPr>
        <w:t xml:space="preserve">3.1 Panaversity’s Operating Costs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Server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VPS (Hetzner/DigitalOcean), SSE connections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$40–60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storage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 (10GB free, zero egress)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gating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Workers (100K req/day free)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 database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PostgreSQL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sandbox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containers on same VPS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(2.9% + $0.30 per txn)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tokens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Learner’s own API key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infrastructure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$50–70/month</w:t>
            </w:r>
          </w:p>
        </w:tc>
      </w:tr>
    </w:tbl>
    <w:p>
      <w:pPr>
        <w:spacing w:after="100"/>
      </w:pPr>
    </w:p>
    <w:p>
      <w:pPr>
        <w:pStyle w:val="Heading2"/>
      </w:pPr>
      <w:r>
        <w:rPr>
          <w:rFonts w:ascii="Arial" w:cs="Arial" w:eastAsia="Arial" w:hAnsi="Arial"/>
        </w:rPr>
        <w:t xml:space="preserve">3.2 Revenue Model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Price (PKR/mo)</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Price (USD/mo)</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Unlocks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PRIMM-Lite (offline shim), Ch.1–5, 20 exchanges/day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PRIMM-AI+ (MCP), all 30 chapters, code execution, 50 exchanges/day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Personalized learning paths, unlimited, human tutor escalation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Per-org billing, cohort analytics, custom chapters</w:t>
            </w:r>
          </w:p>
        </w:tc>
      </w:tr>
    </w:tbl>
    <w:p>
      <w:pPr>
        <w:spacing w:after="100"/>
      </w:pPr>
    </w:p>
    <w:p>
      <w:pPr>
        <w:spacing w:after="200"/>
      </w:pPr>
      <w:r>
        <w:rPr>
          <w:rFonts w:ascii="Arial" w:cs="Arial" w:eastAsia="Arial" w:hAnsi="Arial"/>
          <w:sz w:val="24"/>
          <w:szCs w:val="24"/>
        </w:rPr>
        <w:t xml:space="preserve">The monetization gate lives inside the MCP server. The get_learner_state tool returns exchanges_remaining and tier. When the learner hits their limit, get_chapter_content returns an upgrade prompt, and get_upgrade_url returns a Stripe checkout link. The gate is server-side, tamper-proof, and requires no special logic in the shim skill.</w:t>
      </w:r>
    </w:p>
    <w:p>
      <w:pPr>
        <w:pStyle w:val="Heading2"/>
      </w:pPr>
      <w:r>
        <w:rPr>
          <w:rFonts w:ascii="Arial" w:cs="Arial" w:eastAsia="Arial" w:hAnsi="Arial"/>
        </w:rPr>
        <w:t xml:space="preserve">3.3 Unit Economics at Scale</w:t>
      </w:r>
    </w:p>
    <w:p>
      <w:pPr>
        <w:spacing w:after="200"/>
      </w:pPr>
      <w:r>
        <w:rPr>
          <w:rFonts w:ascii="Arial" w:cs="Arial" w:eastAsia="Arial" w:hAnsi="Arial"/>
          <w:sz w:val="24"/>
          <w:szCs w:val="24"/>
        </w:rPr>
        <w:t xml:space="preserve">With 16,000 learners (75% free, 19% paid, 6% premium):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Learners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Revenue/Month</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MCP Server Cost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(lightweight API calls)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(PRIMM-AI+ + code exec)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(personalized paths)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bl>
    <w:p>
      <w:pPr>
        <w:spacing w:after="100"/>
      </w:pPr>
    </w:p>
    <w:p>
      <w:pPr>
        <w:spacing w:after="200"/>
      </w:pPr>
      <w:r>
        <w:rPr>
          <w:rFonts w:ascii="Arial" w:cs="Arial" w:eastAsia="Arial" w:hAnsi="Arial"/>
          <w:sz w:val="24"/>
          <w:szCs w:val="24"/>
        </w:rPr>
        <w:t xml:space="preserve"/>
      </w:r>
      <w:r>
        <w:rPr>
          <w:rFonts w:ascii="Arial" w:cs="Arial" w:eastAsia="Arial" w:hAnsi="Arial"/>
          <w:b/>
          <w:bCs/>
          <w:sz w:val="24"/>
          <w:szCs w:val="24"/>
        </w:rPr>
        <w:t xml:space="preserve">Revenue: $15,750/month. Operating cost: ~$50–70/month. Stripe fees: ~$450/month. Net: ~$15,230/month. Gross margin on infrastructure: 99.5%.</w:t>
      </w:r>
      <w:r>
        <w:rPr>
          <w:rFonts w:ascii="Arial" w:cs="Arial" w:eastAsia="Arial" w:hAnsi="Arial"/>
          <w:sz w:val="24"/>
          <w:szCs w:val="24"/>
        </w:rPr>
        <w:t xml:space="preserve"/>
      </w:r>
    </w:p>
    <w:p>
      <w:pPr>
        <w:spacing w:after="200"/>
      </w:pPr>
      <w:r>
        <w:rPr>
          <w:rFonts w:ascii="Arial" w:cs="Arial" w:eastAsia="Arial" w:hAnsi="Arial"/>
          <w:sz w:val="24"/>
          <w:szCs w:val="24"/>
        </w:rPr>
        <w:t xml:space="preserve">Compare this to Architecture 1 (Custom Brain), which had $12,000/month in LLM costs alone. The Great Inversion doesn’t just save money—it transforms the business model from “build infrastructure and hope revenue covers costs” to “publish intelligence and keep almost everything.”</w:t>
      </w:r>
    </w:p>
    <w:p>
      <w:pPr>
        <w:pStyle w:val="Heading1"/>
      </w:pPr>
      <w:r>
        <w:rPr>
          <w:rFonts w:ascii="Arial" w:cs="Arial" w:eastAsia="Arial" w:hAnsi="Arial"/>
        </w:rPr>
        <w:t xml:space="preserve">4. Cloudflare R2: Zero-Egress Content Delivery</w:t>
      </w:r>
    </w:p>
    <w:p>
      <w:pPr>
        <w:spacing w:after="200"/>
      </w:pPr>
      <w:r>
        <w:rPr>
          <w:rFonts w:ascii="Arial" w:cs="Arial" w:eastAsia="Arial" w:hAnsi="Arial"/>
          <w:sz w:val="24"/>
          <w:szCs w:val="24"/>
        </w:rPr>
        <w:t xml:space="preserve">Cloudflare R2 is S3-compatible object storage with a defining characteristic: </w:t>
      </w:r>
      <w:r>
        <w:rPr>
          <w:rFonts w:ascii="Arial" w:cs="Arial" w:eastAsia="Arial" w:hAnsi="Arial"/>
          <w:b/>
          <w:bCs/>
          <w:sz w:val="24"/>
          <w:szCs w:val="24"/>
        </w:rPr>
        <w:t xml:space="preserve">zero egress fees.</w:t>
      </w:r>
      <w:r>
        <w:rPr>
          <w:rFonts w:ascii="Arial" w:cs="Arial" w:eastAsia="Arial" w:hAnsi="Arial"/>
          <w:sz w:val="24"/>
          <w:szCs w:val="24"/>
        </w:rPr>
        <w:t xml:space="preserve"> Reading data costs nothing in bandwidth, regardless of volume. AWS S3 charges $0.09/GB egress; Google Cloud Storage charges $0.12/GB. R2 charges $0.</w:t>
      </w:r>
    </w:p>
    <w:p>
      <w:pPr>
        <w:spacing w:after="200"/>
      </w:pPr>
      <w:r>
        <w:rPr>
          <w:rFonts w:ascii="Arial" w:cs="Arial" w:eastAsia="Arial" w:hAnsi="Arial"/>
          <w:sz w:val="24"/>
          <w:szCs w:val="24"/>
        </w:rPr>
        <w:t xml:space="preserve">R2’s free tier: 10 GB storage, 1 million writes, 10 million reads per month. TutorClaw’s 30 chapters total 5–10 MB. At 16,000 learners fetching 2–3 chunks daily: ~1.44 million reads/month. Entirely within the free tier.</w:t>
      </w:r>
    </w:p>
    <w:p>
      <w:pPr>
        <w:spacing w:after="200"/>
      </w:pPr>
      <w:r>
        <w:rPr>
          <w:rFonts w:ascii="Arial" w:cs="Arial" w:eastAsia="Arial" w:hAnsi="Arial"/>
          <w:sz w:val="24"/>
          <w:szCs w:val="24"/>
        </w:rPr>
        <w:t xml:space="preserve">In the MCP-first architecture, R2 content is accessed through two paths:</w:t>
      </w:r>
    </w:p>
    <w:p>
      <w:pPr>
        <w:spacing w:after="200"/>
      </w:pPr>
      <w:r>
        <w:rPr>
          <w:rFonts w:ascii="Arial" w:cs="Arial" w:eastAsia="Arial" w:hAnsi="Arial"/>
          <w:sz w:val="24"/>
          <w:szCs w:val="24"/>
        </w:rPr>
        <w:t xml:space="preserve"/>
      </w:r>
      <w:r>
        <w:rPr>
          <w:rFonts w:ascii="Arial" w:cs="Arial" w:eastAsia="Arial" w:hAnsi="Arial"/>
          <w:b/>
          <w:bCs/>
          <w:sz w:val="24"/>
          <w:szCs w:val="24"/>
        </w:rPr>
        <w:t xml:space="preserve">Path A (primary): MCP server → R2 Worker.</w:t>
      </w:r>
      <w:r>
        <w:rPr>
          <w:rFonts w:ascii="Arial" w:cs="Arial" w:eastAsia="Arial" w:hAnsi="Arial"/>
          <w:sz w:val="24"/>
          <w:szCs w:val="24"/>
        </w:rPr>
        <w:t xml:space="preserve"> The get_chapter_content MCP tool runs server-side. It calls the Cloudflare Worker with the learner’s API key, receives the content, and returns it as an MCP tool response. The learner’s OpenClaw never contacts R2 directly for premium content. Access control is enforced server-side.</w:t>
      </w:r>
    </w:p>
    <w:p>
      <w:pPr>
        <w:spacing w:after="200"/>
      </w:pPr>
      <w:r>
        <w:rPr>
          <w:rFonts w:ascii="Arial" w:cs="Arial" w:eastAsia="Arial" w:hAnsi="Arial"/>
          <w:sz w:val="24"/>
          <w:szCs w:val="24"/>
        </w:rPr>
        <w:t xml:space="preserve"/>
      </w:r>
      <w:r>
        <w:rPr>
          <w:rFonts w:ascii="Arial" w:cs="Arial" w:eastAsia="Arial" w:hAnsi="Arial"/>
          <w:b/>
          <w:bCs/>
          <w:sz w:val="24"/>
          <w:szCs w:val="24"/>
        </w:rPr>
        <w:t xml:space="preserve">Path B (fallback): Shim skill → R2 Worker directly.</w:t>
      </w:r>
      <w:r>
        <w:rPr>
          <w:rFonts w:ascii="Arial" w:cs="Arial" w:eastAsia="Arial" w:hAnsi="Arial"/>
          <w:sz w:val="24"/>
          <w:szCs w:val="24"/>
        </w:rPr>
        <w:t xml:space="preserve"> When the MCP server is unreachable, the shim skill instructs the LLM to fetch chapters 1–5 directly from R2 (ungated, free access). This is the offline fallback for the free tier only.</w:t>
      </w:r>
    </w:p>
    <w:p>
      <w:pPr>
        <w:spacing w:after="200"/>
      </w:pPr>
      <w:r>
        <w:rPr>
          <w:rFonts w:ascii="Arial" w:cs="Arial" w:eastAsia="Arial" w:hAnsi="Arial"/>
          <w:sz w:val="24"/>
          <w:szCs w:val="24"/>
        </w:rPr>
        <w:t xml:space="preserve"/>
      </w:r>
      <w:r>
        <w:rPr>
          <w:rFonts w:ascii="Arial" w:cs="Arial" w:eastAsia="Arial" w:hAnsi="Arial"/>
          <w:b/>
          <w:bCs/>
          <w:sz w:val="24"/>
          <w:szCs w:val="24"/>
        </w:rPr>
        <w:t xml:space="preserve">Instant content updates:</w:t>
      </w:r>
      <w:r>
        <w:rPr>
          <w:rFonts w:ascii="Arial" w:cs="Arial" w:eastAsia="Arial" w:hAnsi="Arial"/>
          <w:sz w:val="24"/>
          <w:szCs w:val="24"/>
        </w:rPr>
        <w:t xml:space="preserve"> Upload a revised chapter to R2 and every TutorClaw instance worldwide gets it on the next fetch. No skill update. No learner action. A/B test content by routing different learner segments to different R2 paths based on API key metadata.</w:t>
      </w:r>
    </w:p>
    <w:p>
      <w:pPr>
        <w:pStyle w:val="Heading1"/>
      </w:pPr>
      <w:r>
        <w:rPr>
          <w:rFonts w:ascii="Arial" w:cs="Arial" w:eastAsia="Arial" w:hAnsi="Arial"/>
        </w:rPr>
        <w:t xml:space="preserve">5. Model Guidance Instead of Model Routing</w:t>
      </w:r>
    </w:p>
    <w:p>
      <w:pPr>
        <w:spacing w:after="200"/>
      </w:pPr>
      <w:r>
        <w:rPr>
          <w:rFonts w:ascii="Arial" w:cs="Arial" w:eastAsia="Arial" w:hAnsi="Arial"/>
          <w:sz w:val="24"/>
          <w:szCs w:val="24"/>
        </w:rPr>
        <w:t xml:space="preserve">In Architectures 1–3, we designed elaborate model routing: free-tier learners routed to DeepSeek, paid to GPT-5.4 mini, premium to Claude Sonnet. This required OpenRouter as a unified gateway and Claude Code Router as a shim inside NanoClaw containers.</w:t>
      </w:r>
    </w:p>
    <w:p>
      <w:pPr>
        <w:spacing w:after="200"/>
      </w:pPr>
      <w:r>
        <w:rPr>
          <w:rFonts w:ascii="Arial" w:cs="Arial" w:eastAsia="Arial" w:hAnsi="Arial"/>
          <w:sz w:val="24"/>
          <w:szCs w:val="24"/>
        </w:rPr>
        <w:t xml:space="preserve">Architecture 4 eliminates model routing entirely. The learner chooses their own model in OpenClaw. Panaversity has no control over this choice and no cost exposure from it.</w:t>
      </w:r>
    </w:p>
    <w:p>
      <w:pPr>
        <w:spacing w:after="200"/>
      </w:pPr>
      <w:r>
        <w:rPr>
          <w:rFonts w:ascii="Arial" w:cs="Arial" w:eastAsia="Arial" w:hAnsi="Arial"/>
          <w:sz w:val="24"/>
          <w:szCs w:val="24"/>
        </w:rPr>
        <w:t xml:space="preserve">Instead, TutorClaw provides </w:t>
      </w:r>
      <w:r>
        <w:rPr>
          <w:rFonts w:ascii="Arial" w:cs="Arial" w:eastAsia="Arial" w:hAnsi="Arial"/>
          <w:b/>
          <w:bCs/>
          <w:sz w:val="24"/>
          <w:szCs w:val="24"/>
        </w:rPr>
        <w:t xml:space="preserve">model guidance</w:t>
      </w:r>
      <w:r>
        <w:rPr>
          <w:rFonts w:ascii="Arial" w:cs="Arial" w:eastAsia="Arial" w:hAnsi="Arial"/>
          <w:sz w:val="24"/>
          <w:szCs w:val="24"/>
        </w:rPr>
        <w:t xml:space="preserve">—recommendations in the shim skill’s documentation and in the MCP server’s responses: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Learner’s Budget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Recommended Model</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Quality</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Approx. Cost/Day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Tight (free API credits)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DeepSeek V3.2 or GPT-5 Nano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for PRIMM-Lite, weaker on full PRIMM-AI+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$0.01–$0.05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GPT-5.4 mini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for full PRIMM-AI+, solid code execution feedback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$0.05–$0.15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Comfortable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 4.5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 for all features, best pedagogical depth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$0.15–$0.40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corporate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Opus 4.6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quality for complex reasoning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$0.50–$2.00</w:t>
            </w:r>
          </w:p>
        </w:tc>
      </w:tr>
    </w:tbl>
    <w:p>
      <w:pPr>
        <w:spacing w:after="100"/>
      </w:pPr>
    </w:p>
    <w:p>
      <w:pPr>
        <w:spacing w:after="200"/>
      </w:pPr>
      <w:r>
        <w:rPr>
          <w:rFonts w:ascii="Arial" w:cs="Arial" w:eastAsia="Arial" w:hAnsi="Arial"/>
          <w:sz w:val="24"/>
          <w:szCs w:val="24"/>
        </w:rPr>
        <w:t xml:space="preserve">The MCP server’s get_pedagogical_guidance tool is designed to return structured guidance that works across model quality levels. For a weak model, the guidance is simpler and more explicit. For a strong model, the guidance allows more nuance. The intelligence adapts to the model, not the other way around.</w:t>
      </w:r>
    </w:p>
    <w:p>
      <w:pPr>
        <w:spacing w:after="200"/>
      </w:pPr>
      <w:r>
        <w:rPr>
          <w:rFonts w:ascii="Arial" w:cs="Arial" w:eastAsia="Arial" w:hAnsi="Arial"/>
          <w:sz w:val="24"/>
          <w:szCs w:val="24"/>
        </w:rPr>
        <w:t xml:space="preserve">This shifts the economics question from “how do we minimize our model costs?” to “how do we make our pedagogical intelligence valuable enough that learners choose to pay for it regardless of their model costs?” That is a product design question, not an infrastructure question.</w:t>
      </w:r>
    </w:p>
    <w:p>
      <w:pPr>
        <w:pStyle w:val="Heading1"/>
      </w:pPr>
      <w:r>
        <w:rPr>
          <w:rFonts w:ascii="Arial" w:cs="Arial" w:eastAsia="Arial" w:hAnsi="Arial"/>
        </w:rPr>
        <w:t xml:space="preserve">6. Stripe for Monetization</w:t>
      </w:r>
    </w:p>
    <w:p>
      <w:pPr>
        <w:spacing w:after="200"/>
      </w:pPr>
      <w:r>
        <w:rPr>
          <w:rFonts w:ascii="Arial" w:cs="Arial" w:eastAsia="Arial" w:hAnsi="Arial"/>
          <w:sz w:val="24"/>
          <w:szCs w:val="24"/>
        </w:rPr>
        <w:t xml:space="preserve">Stripe handles all payment processing for TutorClaw. The integration points are:</w:t>
      </w:r>
    </w:p>
    <w:p>
      <w:pPr>
        <w:spacing w:after="200"/>
      </w:pPr>
      <w:r>
        <w:rPr>
          <w:rFonts w:ascii="Arial" w:cs="Arial" w:eastAsia="Arial" w:hAnsi="Arial"/>
          <w:sz w:val="24"/>
          <w:szCs w:val="24"/>
        </w:rPr>
        <w:t xml:space="preserve"/>
      </w:r>
      <w:r>
        <w:rPr>
          <w:rFonts w:ascii="Arial" w:cs="Arial" w:eastAsia="Arial" w:hAnsi="Arial"/>
          <w:b/>
          <w:bCs/>
          <w:sz w:val="24"/>
          <w:szCs w:val="24"/>
        </w:rPr>
        <w:t xml:space="preserve">At registration:</w:t>
      </w:r>
      <w:r>
        <w:rPr>
          <w:rFonts w:ascii="Arial" w:cs="Arial" w:eastAsia="Arial" w:hAnsi="Arial"/>
          <w:sz w:val="24"/>
          <w:szCs w:val="24"/>
        </w:rPr>
        <w:t xml:space="preserve"> Free. No payment required. The MCP server’s register_learner tool issues a free-tier API key.</w:t>
      </w:r>
    </w:p>
    <w:p>
      <w:pPr>
        <w:spacing w:after="200"/>
      </w:pPr>
      <w:r>
        <w:rPr>
          <w:rFonts w:ascii="Arial" w:cs="Arial" w:eastAsia="Arial" w:hAnsi="Arial"/>
          <w:sz w:val="24"/>
          <w:szCs w:val="24"/>
        </w:rPr>
        <w:t xml:space="preserve"/>
      </w:r>
      <w:r>
        <w:rPr>
          <w:rFonts w:ascii="Arial" w:cs="Arial" w:eastAsia="Arial" w:hAnsi="Arial"/>
          <w:b/>
          <w:bCs/>
          <w:sz w:val="24"/>
          <w:szCs w:val="24"/>
        </w:rPr>
        <w:t xml:space="preserve">At upgrade:</w:t>
      </w:r>
      <w:r>
        <w:rPr>
          <w:rFonts w:ascii="Arial" w:cs="Arial" w:eastAsia="Arial" w:hAnsi="Arial"/>
          <w:sz w:val="24"/>
          <w:szCs w:val="24"/>
        </w:rPr>
        <w:t xml:space="preserve"> The get_upgrade_url MCP tool generates a Stripe Checkout link with the selected tier and learner’s API key as metadata. The learner opens the link in their browser, pays in PKR via Stripe (which supports Pakistani bank cards and mobile wallets), and Stripe’s webhook calls the MCP server to update the learner’s tier in PostgreSQL. The next MCP tool call returns the upgraded tier.</w:t>
      </w:r>
    </w:p>
    <w:p>
      <w:pPr>
        <w:spacing w:after="200"/>
      </w:pPr>
      <w:r>
        <w:rPr>
          <w:rFonts w:ascii="Arial" w:cs="Arial" w:eastAsia="Arial" w:hAnsi="Arial"/>
          <w:sz w:val="24"/>
          <w:szCs w:val="24"/>
        </w:rPr>
        <w:t xml:space="preserve"/>
      </w:r>
      <w:r>
        <w:rPr>
          <w:rFonts w:ascii="Arial" w:cs="Arial" w:eastAsia="Arial" w:hAnsi="Arial"/>
          <w:b/>
          <w:bCs/>
          <w:sz w:val="24"/>
          <w:szCs w:val="24"/>
        </w:rPr>
        <w:t xml:space="preserve">Monthly billing:</w:t>
      </w:r>
      <w:r>
        <w:rPr>
          <w:rFonts w:ascii="Arial" w:cs="Arial" w:eastAsia="Arial" w:hAnsi="Arial"/>
          <w:sz w:val="24"/>
          <w:szCs w:val="24"/>
        </w:rPr>
        <w:t xml:space="preserve"> Stripe manages recurring subscriptions. Failed payments trigger a grace period; after that, the learner’s tier reverts to free. The MCP server checks the tier on every get_learner_state call, so the gate is always current.</w:t>
      </w:r>
    </w:p>
    <w:p>
      <w:pPr>
        <w:spacing w:after="200"/>
      </w:pPr>
      <w:r>
        <w:rPr>
          <w:rFonts w:ascii="Arial" w:cs="Arial" w:eastAsia="Arial" w:hAnsi="Arial"/>
          <w:sz w:val="24"/>
          <w:szCs w:val="24"/>
        </w:rPr>
        <w:t xml:space="preserve"/>
      </w:r>
      <w:r>
        <w:rPr>
          <w:rFonts w:ascii="Arial" w:cs="Arial" w:eastAsia="Arial" w:hAnsi="Arial"/>
          <w:b/>
          <w:bCs/>
          <w:sz w:val="24"/>
          <w:szCs w:val="24"/>
        </w:rPr>
        <w:t xml:space="preserve">For corporate clients:</w:t>
      </w:r>
      <w:r>
        <w:rPr>
          <w:rFonts w:ascii="Arial" w:cs="Arial" w:eastAsia="Arial" w:hAnsi="Arial"/>
          <w:sz w:val="24"/>
          <w:szCs w:val="24"/>
        </w:rPr>
        <w:t xml:space="preserve"> Stripe Invoicing with PO support. Custom pricing per organization. The MCP server supports organization-level API keys that grant access to a pool of learner seats.</w:t>
      </w:r>
    </w:p>
    <w:p>
      <w:pPr>
        <w:pStyle w:val="Heading1"/>
      </w:pPr>
      <w:r>
        <w:rPr>
          <w:rFonts w:ascii="Arial" w:cs="Arial" w:eastAsia="Arial" w:hAnsi="Arial"/>
        </w:rPr>
        <w:t xml:space="preserve">7. Architecture Comparison: The Final Numbers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 1 Custom Brain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 2 NanoClaw</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 3 Hybrid</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Arch 4 MCP-First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infra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$200–300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$575–1,600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$200→1,600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$50–70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LLM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 (you)</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 (you)</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 (you)</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(learner)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cost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~$12,700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~$12,300→13,600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~$50–70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 margin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~17–19%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~14–22%</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execution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(container)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(Phase 1)</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(MCP submit_code)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protection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server (strongest)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ship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months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weeks</w:t>
            </w:r>
          </w:p>
        </w:tc>
      </w:tr>
    </w:tbl>
    <w:p>
      <w:pPr>
        <w:spacing w:after="100"/>
      </w:pPr>
    </w:p>
    <w:p>
      <w:pPr>
        <w:spacing w:after="200"/>
      </w:pPr>
      <w:r>
        <w:rPr>
          <w:rFonts w:ascii="Arial" w:cs="Arial" w:eastAsia="Arial" w:hAnsi="Arial"/>
          <w:sz w:val="24"/>
          <w:szCs w:val="24"/>
        </w:rPr>
        <w:t xml:space="preserve">Architecture 4 dominates on every dimension except one: it requires learners to have OpenClaw installed. For the subset of learners who don’t have OpenClaw, a lightweight Architecture 1 instance (“TutorClaw Web”) serves as the onramp. As the book teaches OpenClaw installation in the first chapter, this subset shrinks rapidly.</w:t>
      </w:r>
    </w:p>
    <w:p>
      <w:pPr>
        <w:pStyle w:val="Heading1"/>
      </w:pPr>
      <w:r>
        <w:rPr>
          <w:rFonts w:ascii="Arial" w:cs="Arial" w:eastAsia="Arial" w:hAnsi="Arial"/>
        </w:rPr>
        <w:t xml:space="preserve">8. Agents as Economic Actors: The Thesis in Practice</w:t>
      </w:r>
    </w:p>
    <w:p>
      <w:pPr>
        <w:spacing w:after="200"/>
      </w:pPr>
      <w:r>
        <w:rPr>
          <w:rFonts w:ascii="Arial" w:cs="Arial" w:eastAsia="Arial" w:hAnsi="Arial"/>
          <w:sz w:val="24"/>
          <w:szCs w:val="24"/>
        </w:rPr>
        <w:t xml:space="preserve">TutorClaw is the Agent Factory thesis made manifest:</w:t>
      </w:r>
    </w:p>
    <w:p>
      <w:pPr>
        <w:spacing w:after="200"/>
      </w:pPr>
      <w:r>
        <w:rPr>
          <w:rFonts w:ascii="Arial" w:cs="Arial" w:eastAsia="Arial" w:hAnsi="Arial"/>
          <w:sz w:val="24"/>
          <w:szCs w:val="24"/>
        </w:rPr>
        <w:t xml:space="preserve"/>
      </w:r>
      <w:r>
        <w:rPr>
          <w:rFonts w:ascii="Arial" w:cs="Arial" w:eastAsia="Arial" w:hAnsi="Arial"/>
          <w:b/>
          <w:bCs/>
          <w:sz w:val="24"/>
          <w:szCs w:val="24"/>
        </w:rPr>
        <w:t xml:space="preserve">Digital FTE.</w:t>
      </w:r>
      <w:r>
        <w:rPr>
          <w:rFonts w:ascii="Arial" w:cs="Arial" w:eastAsia="Arial" w:hAnsi="Arial"/>
          <w:sz w:val="24"/>
          <w:szCs w:val="24"/>
        </w:rPr>
        <w:t xml:space="preserve"> TutorClaw does the work of dozens of human tutors at ~$60/month in infrastructure—a fraction of one qualified instructor’s salary. The economics improve at scale; humans do not.</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Factory Layer.</w:t>
      </w:r>
      <w:r>
        <w:rPr>
          <w:rFonts w:ascii="Arial" w:cs="Arial" w:eastAsia="Arial" w:hAnsi="Arial"/>
          <w:sz w:val="24"/>
          <w:szCs w:val="24"/>
        </w:rPr>
        <w:t xml:space="preserve"> The TutorClaw MCP server + Cloudflare R2 + Stripe = the Factory. It produces and operates the Digital FTE. No single component is the product; the product emerges from their composition.</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Edge Layer.</w:t>
      </w:r>
      <w:r>
        <w:rPr>
          <w:rFonts w:ascii="Arial" w:cs="Arial" w:eastAsia="Arial" w:hAnsi="Arial"/>
          <w:sz w:val="24"/>
          <w:szCs w:val="24"/>
        </w:rPr>
        <w:t xml:space="preserve"> Each learner’s OpenClaw instance—their personalized context, chapter position, conversation history—is the Edge. Intelligence is centralized (MCP server); personalization is at the edge (OpenClaw’s persistent memory + server-side learner state).</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Great Inversion.</w:t>
      </w:r>
      <w:r>
        <w:rPr>
          <w:rFonts w:ascii="Arial" w:cs="Arial" w:eastAsia="Arial" w:hAnsi="Arial"/>
          <w:sz w:val="24"/>
          <w:szCs w:val="24"/>
        </w:rPr>
        <w:t xml:space="preserve"> The learner provides compute, messaging, and LLM. Panaversity provides pedagogy, content, and brand. This is the most capital-efficient composition of the Factory and Edge layers possible. The agent is an economic actor that generates revenue while its operational costs approach zero.</w:t>
      </w:r>
    </w:p>
    <w:p>
      <w:pPr>
        <w:pStyle w:val="Heading1"/>
      </w:pPr>
      <w:r>
        <w:rPr>
          <w:rFonts w:ascii="Arial" w:cs="Arial" w:eastAsia="Arial" w:hAnsi="Arial"/>
        </w:rPr>
        <w:t xml:space="preserve">9. Exercises</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1: Build the Monetization Gate.</w:t>
      </w:r>
      <w:r>
        <w:rPr>
          <w:rFonts w:ascii="Arial" w:cs="Arial" w:eastAsia="Arial" w:hAnsi="Arial"/>
          <w:sz w:val="24"/>
          <w:szCs w:val="24"/>
        </w:rPr>
        <w:t xml:space="preserve"> Using Stripe’s test mode, create a subscription product with three tiers matching TutorClaw’s pricing (Free, PKR 500 Paid, PKR 3,000 Premium). Implement a webhook handler that updates a learner’s tier in a SQLite database when payment succeeds. Simulate the get_learner_state logic that checks exchanges_remaining and tier.</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2: Unit Economics Calculator.</w:t>
      </w:r>
      <w:r>
        <w:rPr>
          <w:rFonts w:ascii="Arial" w:cs="Arial" w:eastAsia="Arial" w:hAnsi="Arial"/>
          <w:sz w:val="24"/>
          <w:szCs w:val="24"/>
        </w:rPr>
        <w:t xml:space="preserve"> Build a Python script that takes: learners per tier, subscription prices, MCP server cost, Stripe fee percentage, and Cloudflare costs. Output: monthly revenue, monthly cost, gross margin, break-even conversion rate for the free tier. Test with TutorClaw’s numbers and with your own hypothetical product.</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3: Content Gating with Cloudflare Workers.</w:t>
      </w:r>
      <w:r>
        <w:rPr>
          <w:rFonts w:ascii="Arial" w:cs="Arial" w:eastAsia="Arial" w:hAnsi="Arial"/>
          <w:sz w:val="24"/>
          <w:szCs w:val="24"/>
        </w:rPr>
        <w:t xml:space="preserve"> Deploy a Cloudflare Worker that serves files from an R2 bucket. Files in /free/ are accessible to anyone. Files in /paid/ require an X-API-Key header. Test with curl and verify that ungated content returns 200 while gated content returns 403 without the key and 200 with it.</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4: MCP Cost Modeling.</w:t>
      </w:r>
      <w:r>
        <w:rPr>
          <w:rFonts w:ascii="Arial" w:cs="Arial" w:eastAsia="Arial" w:hAnsi="Arial"/>
          <w:sz w:val="24"/>
          <w:szCs w:val="24"/>
        </w:rPr>
        <w:t xml:space="preserve"> A single TutorClaw MCP tool call takes ~100ms and consumes ~50 bytes of bandwidth. At 16,000 learners making 10 exchanges/day with 4 tool calls each, calculate: total daily tool calls, total daily bandwidth, peak concurrent SSE connections (assuming 10% concurrency), and the minimum VPS specification needed. Compare your calculation to the $40–60/month estimate.</w:t>
      </w:r>
    </w:p>
    <w:p>
      <w:pPr>
        <w:spacing w:after="200"/>
      </w:pPr>
      <w:r>
        <w:rPr>
          <w:rFonts w:ascii="Arial" w:cs="Arial" w:eastAsia="Arial" w:hAnsi="Arial"/>
          <w:sz w:val="24"/>
          <w:szCs w:val="24"/>
        </w:rPr>
        <w:t xml:space="preserve"/>
      </w:r>
      <w:r>
        <w:rPr>
          <w:rFonts w:ascii="Arial" w:cs="Arial" w:eastAsia="Arial" w:hAnsi="Arial"/>
          <w:b/>
          <w:bCs/>
          <w:sz w:val="24"/>
          <w:szCs w:val="24"/>
        </w:rPr>
        <w:t xml:space="preserve">Exercise 5: The Great Inversion Applied.</w:t>
      </w:r>
      <w:r>
        <w:rPr>
          <w:rFonts w:ascii="Arial" w:cs="Arial" w:eastAsia="Arial" w:hAnsi="Arial"/>
          <w:sz w:val="24"/>
          <w:szCs w:val="24"/>
        </w:rPr>
        <w:t xml:space="preserve"> Choose an AI product idea (a coding assistant, a customer support bot, a content generator). Design two architectures: one where you pay for LLM tokens (traditional) and one where the user provides their own LLM via OpenClaw (inverted). Calculate the cost difference at 1,000 users, 10,000 users, and 100,000 users. At what scale does the inversion become essential for business viability?</w:t>
      </w:r>
    </w:p>
    <w:p>
      <w:pPr>
        <w:pStyle w:val="Heading1"/>
      </w:pPr>
      <w:r>
        <w:rPr>
          <w:rFonts w:ascii="Arial" w:cs="Arial" w:eastAsia="Arial" w:hAnsi="Arial"/>
        </w:rPr>
        <w:t xml:space="preserve">10. Chapter Summary</w:t>
      </w:r>
    </w:p>
    <w:p>
      <w:pPr>
        <w:spacing w:after="200"/>
      </w:pPr>
      <w:r>
        <w:rPr>
          <w:rFonts w:ascii="Arial" w:cs="Arial" w:eastAsia="Arial" w:hAnsi="Arial"/>
          <w:sz w:val="24"/>
          <w:szCs w:val="24"/>
        </w:rPr>
        <w:t xml:space="preserve">The Economics Stack for TutorClaw’s MCP-first architecture consists of:</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Great Inversion</w:t>
      </w:r>
      <w:r>
        <w:rPr>
          <w:rFonts w:ascii="Arial" w:cs="Arial" w:eastAsia="Arial" w:hAnsi="Arial"/>
          <w:sz w:val="24"/>
          <w:szCs w:val="24"/>
        </w:rPr>
        <w:t xml:space="preserve"> — the learner provides compute, messaging, and LLM through their own OpenClaw instance. Panaversity provides intelligence (MCP server), content (Cloudflare R2), and brand. LLM cost—previously 90% of total operating cost—drops to zero for the operator.</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TutorClaw MCP Server</w:t>
      </w:r>
      <w:r>
        <w:rPr>
          <w:rFonts w:ascii="Arial" w:cs="Arial" w:eastAsia="Arial" w:hAnsi="Arial"/>
          <w:sz w:val="24"/>
          <w:szCs w:val="24"/>
        </w:rPr>
        <w:t xml:space="preserve"> — all pedagogical intelligence, learner state management, code execution, assessment logic, and monetization gating consolidated into a single MCP endpoint. Cost: $40–60/month.</w:t>
      </w:r>
    </w:p>
    <w:p>
      <w:pPr>
        <w:spacing w:after="200"/>
      </w:pPr>
      <w:r>
        <w:rPr>
          <w:rFonts w:ascii="Arial" w:cs="Arial" w:eastAsia="Arial" w:hAnsi="Arial"/>
          <w:sz w:val="24"/>
          <w:szCs w:val="24"/>
        </w:rPr>
        <w:t xml:space="preserve"/>
      </w:r>
      <w:r>
        <w:rPr>
          <w:rFonts w:ascii="Arial" w:cs="Arial" w:eastAsia="Arial" w:hAnsi="Arial"/>
          <w:b/>
          <w:bCs/>
          <w:sz w:val="24"/>
          <w:szCs w:val="24"/>
        </w:rPr>
        <w:t xml:space="preserve">Cloudflare R2 + Workers</w:t>
      </w:r>
      <w:r>
        <w:rPr>
          <w:rFonts w:ascii="Arial" w:cs="Arial" w:eastAsia="Arial" w:hAnsi="Arial"/>
          <w:sz w:val="24"/>
          <w:szCs w:val="24"/>
        </w:rPr>
        <w:t xml:space="preserve"> — zero-egress content delivery with two-tier access control. Free chapters ungated, premium chapters key-gated through a Cloudflare Worker. Cost: $0 within free tier.</w:t>
      </w:r>
    </w:p>
    <w:p>
      <w:pPr>
        <w:spacing w:after="200"/>
      </w:pPr>
      <w:r>
        <w:rPr>
          <w:rFonts w:ascii="Arial" w:cs="Arial" w:eastAsia="Arial" w:hAnsi="Arial"/>
          <w:sz w:val="24"/>
          <w:szCs w:val="24"/>
        </w:rPr>
        <w:t xml:space="preserve"/>
      </w:r>
      <w:r>
        <w:rPr>
          <w:rFonts w:ascii="Arial" w:cs="Arial" w:eastAsia="Arial" w:hAnsi="Arial"/>
          <w:b/>
          <w:bCs/>
          <w:sz w:val="24"/>
          <w:szCs w:val="24"/>
        </w:rPr>
        <w:t xml:space="preserve">Stripe</w:t>
      </w:r>
      <w:r>
        <w:rPr>
          <w:rFonts w:ascii="Arial" w:cs="Arial" w:eastAsia="Arial" w:hAnsi="Arial"/>
          <w:sz w:val="24"/>
          <w:szCs w:val="24"/>
        </w:rPr>
        <w:t xml:space="preserve"> — subscription management, PKR payment processing, and tier upgrades triggered directly from MCP tool responses. The monetization gate is server-side and tamper-proof.</w:t>
      </w:r>
    </w:p>
    <w:p>
      <w:pPr>
        <w:spacing w:after="200"/>
      </w:pPr>
      <w:r>
        <w:rPr>
          <w:rFonts w:ascii="Arial" w:cs="Arial" w:eastAsia="Arial" w:hAnsi="Arial"/>
          <w:sz w:val="24"/>
          <w:szCs w:val="24"/>
        </w:rPr>
        <w:t xml:space="preserve"/>
      </w:r>
      <w:r>
        <w:rPr>
          <w:rFonts w:ascii="Arial" w:cs="Arial" w:eastAsia="Arial" w:hAnsi="Arial"/>
          <w:b/>
          <w:bCs/>
          <w:sz w:val="24"/>
          <w:szCs w:val="24"/>
        </w:rPr>
        <w:t xml:space="preserve">Model guidance over model routing</w:t>
      </w:r>
      <w:r>
        <w:rPr>
          <w:rFonts w:ascii="Arial" w:cs="Arial" w:eastAsia="Arial" w:hAnsi="Arial"/>
          <w:sz w:val="24"/>
          <w:szCs w:val="24"/>
        </w:rPr>
        <w:t xml:space="preserve"> — rather than controlling which model serves each request, TutorClaw recommends models and designs its MCP tool responses to work across quality levels. The learner’s model choice is their own.</w:t>
      </w:r>
    </w:p>
    <w:p>
      <w:pPr>
        <w:spacing w:after="200"/>
      </w:pPr>
      <w:r>
        <w:rPr>
          <w:rFonts w:ascii="Arial" w:cs="Arial" w:eastAsia="Arial" w:hAnsi="Arial"/>
          <w:sz w:val="24"/>
          <w:szCs w:val="24"/>
        </w:rPr>
        <w:t xml:space="preserve">The overarching lesson: </w:t>
      </w:r>
      <w:r>
        <w:rPr>
          <w:rFonts w:ascii="Arial" w:cs="Arial" w:eastAsia="Arial" w:hAnsi="Arial"/>
          <w:b/>
          <w:bCs/>
          <w:sz w:val="24"/>
          <w:szCs w:val="24"/>
        </w:rPr>
        <w:t xml:space="preserve">the most capital-efficient AI product is one where you provide the intelligence and the customer provides the infrastructure.</w:t>
      </w:r>
      <w:r>
        <w:rPr>
          <w:rFonts w:ascii="Arial" w:cs="Arial" w:eastAsia="Arial" w:hAnsi="Arial"/>
          <w:sz w:val="24"/>
          <w:szCs w:val="24"/>
        </w:rPr>
        <w:t xml:space="preserve"> Build on commodities (OpenClaw, Cloudflare, Stripe). Compete on intelligence (PRIMM-AI+, Verification Ladder, Error Taxonomy). Let the ecosystem do the rest.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AI Agent Factory | The Economics Stack (MCP-First)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2026-03-18T06:45:45.657Z</dcterms:created>
  <dcterms:modified xsi:type="dcterms:W3CDTF">2026-03-18T06:45:45.658Z</dcterms:modified>
</cp:coreProperties>
</file>

<file path=docProps/custom.xml><?xml version="1.0" encoding="utf-8"?>
<Properties xmlns="http://schemas.openxmlformats.org/officeDocument/2006/custom-properties" xmlns:vt="http://schemas.openxmlformats.org/officeDocument/2006/docPropsVTypes"/>
</file>