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72"/>
          <w:szCs w:val="72"/>
        </w:rPr>
        <w:t xml:space="preserve">TutorClaw</w:t>
      </w:r>
    </w:p>
    <w:p>
      <w:pPr>
        <w:spacing w:after="100"/>
        <w:jc w:val="center"/>
      </w:pPr>
      <w:r>
        <w:rPr>
          <w:rFonts w:ascii="Arial" w:cs="Arial" w:eastAsia="Arial" w:hAnsi="Arial"/>
          <w:color w:val="444444"/>
          <w:sz w:val="36"/>
          <w:szCs w:val="36"/>
        </w:rPr>
        <w:t xml:space="preserve">Architecture for a 24/7 AI Personal Teacher</w:t>
      </w:r>
    </w:p>
    <w:p>
      <w:pPr>
        <w:spacing w:after="100"/>
        <w:jc w:val="center"/>
      </w:pPr>
      <w:r>
        <w:rPr>
          <w:rFonts w:ascii="Arial" w:cs="Arial" w:eastAsia="Arial" w:hAnsi="Arial"/>
          <w:color w:val="666666"/>
          <w:sz w:val="28"/>
          <w:szCs w:val="28"/>
        </w:rPr>
        <w:t xml:space="preserve">Delivered via WhatsApp at Scale</w:t>
      </w:r>
    </w:p>
    <w:p>
      <w:pPr>
        <w:spacing w:after="100"/>
      </w:pPr>
    </w:p>
    <w:p>
      <w:pPr>
        <w:spacing w:after="100"/>
      </w:pPr>
    </w:p>
    <w:p>
      <w:pPr>
        <w:spacing w:after="100"/>
        <w:jc w:val="center"/>
      </w:pPr>
      <w:r>
        <w:rPr>
          <w:rFonts w:ascii="Arial" w:cs="Arial" w:eastAsia="Arial" w:hAnsi="Arial"/>
          <w:i/>
          <w:iCs/>
          <w:color w:val="666666"/>
          <w:sz w:val="28"/>
          <w:szCs w:val="28"/>
        </w:rPr>
        <w:t xml:space="preserve">A Technical Decision Paper</w:t>
      </w:r>
    </w:p>
    <w:p>
      <w:pPr>
        <w:spacing w:after="100"/>
        <w:jc w:val="center"/>
      </w:pPr>
      <w:r>
        <w:rPr>
          <w:rFonts w:ascii="Arial" w:cs="Arial" w:eastAsia="Arial" w:hAnsi="Arial"/>
          <w:color w:val="888888"/>
          <w:sz w:val="24"/>
          <w:szCs w:val="24"/>
        </w:rPr>
        <w:t xml:space="preserve">Companion to The AI Agent Factory</w:t>
      </w:r>
    </w:p>
    <w:p>
      <w:pPr>
        <w:spacing w:after="100"/>
      </w:pPr>
    </w:p>
    <w:p>
      <w:pPr>
        <w:spacing w:after="100"/>
      </w:pPr>
    </w:p>
    <w:p>
      <w:pPr>
        <w:spacing w:after="100"/>
      </w:pPr>
    </w:p>
    <w:p>
      <w:pPr>
        <w:spacing w:after="100"/>
        <w:jc w:val="center"/>
      </w:pPr>
      <w:r>
        <w:rPr>
          <w:rFonts w:ascii="Arial" w:cs="Arial" w:eastAsia="Arial" w:hAnsi="Arial"/>
          <w:b/>
          <w:bCs/>
          <w:sz w:val="28"/>
          <w:szCs w:val="28"/>
        </w:rPr>
        <w:t xml:space="preserve">Zia Khan</w:t>
      </w:r>
    </w:p>
    <w:p>
      <w:pPr>
        <w:spacing w:after="100"/>
        <w:jc w:val="center"/>
      </w:pPr>
      <w:r>
        <w:rPr>
          <w:rFonts w:ascii="Arial" w:cs="Arial" w:eastAsia="Arial" w:hAnsi="Arial"/>
          <w:color w:val="666666"/>
          <w:sz w:val="24"/>
          <w:szCs w:val="24"/>
        </w:rPr>
        <w:t xml:space="preserve">CEO, Panaversity | COO, PIAIC</w:t>
      </w:r>
    </w:p>
    <w:p>
      <w:pPr>
        <w:spacing w:after="100"/>
        <w:jc w:val="center"/>
      </w:pPr>
      <w:r>
        <w:rPr>
          <w:rFonts w:ascii="Arial" w:cs="Arial" w:eastAsia="Arial" w:hAnsi="Arial"/>
          <w:color w:val="888888"/>
          <w:sz w:val="24"/>
          <w:szCs w:val="24"/>
        </w:rPr>
        <w:t xml:space="preserve">March 2026</w:t>
      </w:r>
    </w:p>
    <w:p>
      <w:r>
        <w:br w:type="page"/>
      </w:r>
    </w:p>
    <w:p>
      <w:pPr>
        <w:pStyle w:val="Heading1"/>
      </w:pPr>
      <w:r>
        <w:rPr>
          <w:rFonts w:ascii="Arial" w:cs="Arial" w:eastAsia="Arial" w:hAnsi="Arial"/>
        </w:rPr>
        <w:t xml:space="preserve">Abstract</w:t>
      </w:r>
    </w:p>
    <w:p>
      <w:pPr>
        <w:spacing w:after="200"/>
      </w:pPr>
      <w:r>
        <w:rPr>
          <w:rFonts w:ascii="Arial" w:cs="Arial" w:eastAsia="Arial" w:hAnsi="Arial"/>
          <w:sz w:val="24"/>
          <w:szCs w:val="24"/>
        </w:rPr>
        <w:t xml:space="preserve">This paper documents the architectural decision-making process behind TutorClaw, a 24/7 AI personal teacher designed to serve 16,000+ learners via WhatsApp. TutorClaw is the companion delivery system for The AI Agent Factory, an open-source technical book teaching how to build and monetize AI agents. Rather than presenting only final conclusions, this paper traces the full deliberative journey: from initial consideration of OpenClaw as the foundation, through the discovery that OpenClaw’s personal-agent architecture cannot serve multi-tenant educational delivery at scale, to the final architecture that combines the WhatsApp Business Cloud API, OpenRouter as a unified LLM gateway, Stripe Token Billing for monetization, and Claude as the primary pedagogical intelligence. Each architectural pivot is documented with its rationale, enabling readers to understand not just what was decided, but why.</w:t>
      </w:r>
    </w:p>
    <w:p>
      <w:r>
        <w:br w:type="page"/>
      </w:r>
    </w:p>
    <w:p>
      <w:pPr>
        <w:pStyle w:val="Heading1"/>
      </w:pPr>
      <w:r>
        <w:rPr>
          <w:rFonts w:ascii="Arial" w:cs="Arial" w:eastAsia="Arial" w:hAnsi="Arial"/>
        </w:rPr>
        <w:t xml:space="preserve">1. Introduction: The Problem</w:t>
      </w:r>
    </w:p>
    <w:p>
      <w:pPr>
        <w:spacing w:after="200"/>
      </w:pPr>
      <w:r>
        <w:rPr>
          <w:rFonts w:ascii="Arial" w:cs="Arial" w:eastAsia="Arial" w:hAnsi="Arial"/>
          <w:sz w:val="24"/>
          <w:szCs w:val="24"/>
        </w:rPr>
        <w:t xml:space="preserve">The AI Agent Factory is an open-source technical book with a 30-chapter curriculum teaching AI-native development to beginners and professionals. The book’s pedagogical framework, PHPM/PRIMM-AI+, is a sophisticated multi-stage teaching methodology featuring a Verification Ladder, Error Taxonomy, confidence scoring, Parsons problems, and chapter-end rubrics. The curriculum serves 16,000+ learners across PIAIC (Presidential Initiative for Artificial Intelligence and Computing).</w:t>
      </w:r>
    </w:p>
    <w:p>
      <w:pPr>
        <w:spacing w:after="200"/>
      </w:pPr>
      <w:r>
        <w:rPr>
          <w:rFonts w:ascii="Arial" w:cs="Arial" w:eastAsia="Arial" w:hAnsi="Arial"/>
          <w:sz w:val="24"/>
          <w:szCs w:val="24"/>
        </w:rPr>
        <w:t xml:space="preserve">The core problem: how do you deliver personalized, adaptive, 24/7 tutoring at this scale? A human tutor is impossible. A static chatbot is inadequate. What’s needed is a Digital FTE (Full-Time Equivalent)—an AI agent that operates as a tireless teaching assistant, available in the messaging app learners already use (WhatsApp), implementing the full pedagogical framework, and doing so at a cost that can be sustained or even monetized.</w:t>
      </w:r>
    </w:p>
    <w:p>
      <w:pPr>
        <w:spacing w:after="200"/>
      </w:pPr>
      <w:r>
        <w:rPr>
          <w:rFonts w:ascii="Arial" w:cs="Arial" w:eastAsia="Arial" w:hAnsi="Arial"/>
          <w:sz w:val="24"/>
          <w:szCs w:val="24"/>
        </w:rPr>
        <w:t xml:space="preserve">This paper documents the architectural journey to build TutorClaw: every option considered, every dead end identified, and the reasoning behind each decision. The goal is not just a technical specification but a teaching tool—showing readers how architectural decisions are made in the real world of AI product development.</w:t>
      </w:r>
    </w:p>
    <w:p>
      <w:pPr>
        <w:pStyle w:val="Heading1"/>
      </w:pPr>
      <w:r>
        <w:rPr>
          <w:rFonts w:ascii="Arial" w:cs="Arial" w:eastAsia="Arial" w:hAnsi="Arial"/>
        </w:rPr>
        <w:t xml:space="preserve">2. The OpenClaw Moment: Why We Started Here</w:t>
      </w:r>
    </w:p>
    <w:p>
      <w:pPr>
        <w:pStyle w:val="Heading2"/>
      </w:pPr>
      <w:r>
        <w:rPr>
          <w:rFonts w:ascii="Arial" w:cs="Arial" w:eastAsia="Arial" w:hAnsi="Arial"/>
        </w:rPr>
        <w:t xml:space="preserve">2.1 The GTC 2026 Catalyst</w:t>
      </w:r>
    </w:p>
    <w:p>
      <w:pPr>
        <w:spacing w:after="200"/>
      </w:pPr>
      <w:r>
        <w:rPr>
          <w:rFonts w:ascii="Arial" w:cs="Arial" w:eastAsia="Arial" w:hAnsi="Arial"/>
          <w:sz w:val="24"/>
          <w:szCs w:val="24"/>
        </w:rPr>
        <w:t xml:space="preserve">On March 16, 2026, NVIDIA CEO Jensen Huang took the stage at GTC and declared OpenClaw “the most popular open-source project in the history of humanity.” He announced NemoClaw, NVIDIA’s enterprise-grade version that adds security and privacy controls via the OpenShell runtime. OpenAI’s Sam Altman confirmed that OpenClaw would live in an open-source foundation with continued OpenAI support. The creator, Peter Steinberger, had already joined OpenAI to lead their personal agents division.</w:t>
      </w:r>
    </w:p>
    <w:p>
      <w:pPr>
        <w:spacing w:after="200"/>
      </w:pPr>
      <w:r>
        <w:rPr>
          <w:rFonts w:ascii="Arial" w:cs="Arial" w:eastAsia="Arial" w:hAnsi="Arial"/>
          <w:sz w:val="24"/>
          <w:szCs w:val="24"/>
        </w:rPr>
        <w:t xml:space="preserve">Jensen’s framing was deliberate and historically loaded: “Mac and Windows are the operating systems for the personal computer. OpenClaw is the operating system for personal AI.” He told every CEO they need an “OpenClaw strategy”—the same way they once needed a Linux strategy or an HTTP/HTML strategy.</w:t>
      </w:r>
    </w:p>
    <w:p>
      <w:pPr>
        <w:spacing w:after="200"/>
      </w:pPr>
      <w:r>
        <w:rPr>
          <w:rFonts w:ascii="Arial" w:cs="Arial" w:eastAsia="Arial" w:hAnsi="Arial"/>
          <w:sz w:val="24"/>
          <w:szCs w:val="24"/>
        </w:rPr>
        <w:t xml:space="preserve">With NVIDIA, OpenAI, and Tencent backing it, OpenClaw was being positioned as infrastructure—the Linux of agentic AI. Naturally, the question arose: should TutorClaw be built on OpenClaw?</w:t>
      </w:r>
    </w:p>
    <w:p>
      <w:pPr>
        <w:pStyle w:val="Heading2"/>
      </w:pPr>
      <w:r>
        <w:rPr>
          <w:rFonts w:ascii="Arial" w:cs="Arial" w:eastAsia="Arial" w:hAnsi="Arial"/>
        </w:rPr>
        <w:t xml:space="preserve">2.2 What OpenClaw Actually Is</w:t>
      </w:r>
    </w:p>
    <w:p>
      <w:pPr>
        <w:spacing w:after="200"/>
      </w:pPr>
      <w:r>
        <w:rPr>
          <w:rFonts w:ascii="Arial" w:cs="Arial" w:eastAsia="Arial" w:hAnsi="Arial"/>
          <w:sz w:val="24"/>
          <w:szCs w:val="24"/>
        </w:rPr>
        <w:t xml:space="preserve">OpenClaw is a self-hosted, open-source autonomous AI agent platform. It runs as a single Node.js process (the Gateway) on your own machine. The Gateway connects to messaging platforms you already use—WhatsApp, Telegram, Slack, Discord, Signal, iMessage, and more—and routes every incoming message through an LLM-powered agent runtime.</w:t>
      </w:r>
    </w:p>
    <w:p>
      <w:pPr>
        <w:spacing w:after="200"/>
      </w:pPr>
      <w:r>
        <w:rPr>
          <w:rFonts w:ascii="Arial" w:cs="Arial" w:eastAsia="Arial" w:hAnsi="Arial"/>
          <w:sz w:val="24"/>
          <w:szCs w:val="24"/>
        </w:rPr>
        <w:t xml:space="preserve">The architecture has two layers:</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Gateway</w:t>
      </w:r>
      <w:r>
        <w:rPr>
          <w:rFonts w:ascii="Arial" w:cs="Arial" w:eastAsia="Arial" w:hAnsi="Arial"/>
          <w:sz w:val="24"/>
          <w:szCs w:val="24"/>
        </w:rPr>
        <w:t xml:space="preserve"> handles routing, connectivity, authentication, session management, and message queuing. It is the control plane.</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Agent Runtime</w:t>
      </w:r>
      <w:r>
        <w:rPr>
          <w:rFonts w:ascii="Arial" w:cs="Arial" w:eastAsia="Arial" w:hAnsi="Arial"/>
          <w:sz w:val="24"/>
          <w:szCs w:val="24"/>
        </w:rPr>
        <w:t xml:space="preserve"> handles reasoning and execution: assembling context from session history and memory, invoking the LLM, executing tool calls, and persisting updated state.</w:t>
      </w:r>
    </w:p>
    <w:p>
      <w:pPr>
        <w:spacing w:after="200"/>
      </w:pPr>
      <w:r>
        <w:rPr>
          <w:rFonts w:ascii="Arial" w:cs="Arial" w:eastAsia="Arial" w:hAnsi="Arial"/>
          <w:sz w:val="24"/>
          <w:szCs w:val="24"/>
        </w:rPr>
        <w:t xml:space="preserve">OpenClaw is model-agnostic. You bring your own API key for Claude, GPT, Gemini, or local models via Ollama. Skills are defined as Markdown files (SKILL.md)—not compiled code—making the system extensible by non-programmers.</w:t>
      </w:r>
    </w:p>
    <w:p>
      <w:pPr>
        <w:pStyle w:val="Heading2"/>
      </w:pPr>
      <w:r>
        <w:rPr>
          <w:rFonts w:ascii="Arial" w:cs="Arial" w:eastAsia="Arial" w:hAnsi="Arial"/>
        </w:rPr>
        <w:t xml:space="preserve">2.3 The Body+Brain Pattern Recognition</w:t>
      </w:r>
    </w:p>
    <w:p>
      <w:pPr>
        <w:spacing w:after="200"/>
      </w:pPr>
      <w:r>
        <w:rPr>
          <w:rFonts w:ascii="Arial" w:cs="Arial" w:eastAsia="Arial" w:hAnsi="Arial"/>
          <w:sz w:val="24"/>
          <w:szCs w:val="24"/>
        </w:rPr>
        <w:t xml:space="preserve">A critical insight emerged early: OpenClaw’s architecture maps directly to the NanoClaw Body+Brain pattern already established in the Agent Factory curriculum. OpenClaw’s Gateway IS the Body layer (message delivery, session management, persistent memory). OpenClaw’s Agent Runtime IS the Brain layer (LLM reasoning, tool execution, context management).</w:t>
      </w:r>
    </w:p>
    <w:p>
      <w:pPr>
        <w:spacing w:after="200"/>
      </w:pPr>
      <w:r>
        <w:rPr>
          <w:rFonts w:ascii="Arial" w:cs="Arial" w:eastAsia="Arial" w:hAnsi="Arial"/>
          <w:sz w:val="24"/>
          <w:szCs w:val="24"/>
        </w:rPr>
        <w:t xml:space="preserve">Furthermore, OpenClaw’s Markdown-based skill system is identical in concept to the SKILL.md approach already used in the book’s Claude Code chapter authoring tools. The pedagogical framework could, in theory, be packaged as an OpenClaw skill and installed with a single command.</w:t>
      </w:r>
    </w:p>
    <w:p>
      <w:pPr>
        <w:spacing w:after="200"/>
      </w:pPr>
      <w:r>
        <w:rPr>
          <w:rFonts w:ascii="Arial" w:cs="Arial" w:eastAsia="Arial" w:hAnsi="Arial"/>
          <w:sz w:val="24"/>
          <w:szCs w:val="24"/>
        </w:rPr>
        <w:t xml:space="preserve">This alignment made OpenClaw the natural first candidate for TutorClaw’s foundation.</w:t>
      </w:r>
    </w:p>
    <w:p>
      <w:pPr>
        <w:pStyle w:val="Heading1"/>
      </w:pPr>
      <w:r>
        <w:rPr>
          <w:rFonts w:ascii="Arial" w:cs="Arial" w:eastAsia="Arial" w:hAnsi="Arial"/>
        </w:rPr>
        <w:t xml:space="preserve">3. The Brain Layer Decision: Agent SDKs vs. OpenClaw’s Runtime</w:t>
      </w:r>
    </w:p>
    <w:p>
      <w:pPr>
        <w:pStyle w:val="Heading2"/>
      </w:pPr>
      <w:r>
        <w:rPr>
          <w:rFonts w:ascii="Arial" w:cs="Arial" w:eastAsia="Arial" w:hAnsi="Arial"/>
        </w:rPr>
        <w:t xml:space="preserve">3.1 The Three-Layer Confusion</w:t>
      </w:r>
    </w:p>
    <w:p>
      <w:pPr>
        <w:spacing w:after="200"/>
      </w:pPr>
      <w:r>
        <w:rPr>
          <w:rFonts w:ascii="Arial" w:cs="Arial" w:eastAsia="Arial" w:hAnsi="Arial"/>
          <w:sz w:val="24"/>
          <w:szCs w:val="24"/>
        </w:rPr>
        <w:t xml:space="preserve">A common confusion in the industry conflates three distinct layers when people say “brain”:</w:t>
      </w:r>
    </w:p>
    <w:p>
      <w:pPr>
        <w:spacing w:after="200"/>
      </w:pPr>
      <w:r>
        <w:rPr>
          <w:rFonts w:ascii="Arial" w:cs="Arial" w:eastAsia="Arial" w:hAnsi="Arial"/>
          <w:sz w:val="24"/>
          <w:szCs w:val="24"/>
        </w:rPr>
        <w:t xml:space="preserve"/>
      </w:r>
      <w:r>
        <w:rPr>
          <w:rFonts w:ascii="Arial" w:cs="Arial" w:eastAsia="Arial" w:hAnsi="Arial"/>
          <w:b/>
          <w:bCs/>
          <w:sz w:val="24"/>
          <w:szCs w:val="24"/>
        </w:rPr>
        <w:t xml:space="preserve">Layer 1 — The LLM (raw intelligence).</w:t>
      </w:r>
      <w:r>
        <w:rPr>
          <w:rFonts w:ascii="Arial" w:cs="Arial" w:eastAsia="Arial" w:hAnsi="Arial"/>
          <w:sz w:val="24"/>
          <w:szCs w:val="24"/>
        </w:rPr>
        <w:t xml:space="preserve"> Claude Opus/Sonnet, GPT-5, Gemini, etc. A stateless API call that does the actual reasoning.</w:t>
      </w:r>
    </w:p>
    <w:p>
      <w:pPr>
        <w:spacing w:after="200"/>
      </w:pPr>
      <w:r>
        <w:rPr>
          <w:rFonts w:ascii="Arial" w:cs="Arial" w:eastAsia="Arial" w:hAnsi="Arial"/>
          <w:sz w:val="24"/>
          <w:szCs w:val="24"/>
        </w:rPr>
        <w:t xml:space="preserve"/>
      </w:r>
      <w:r>
        <w:rPr>
          <w:rFonts w:ascii="Arial" w:cs="Arial" w:eastAsia="Arial" w:hAnsi="Arial"/>
          <w:b/>
          <w:bCs/>
          <w:sz w:val="24"/>
          <w:szCs w:val="24"/>
        </w:rPr>
        <w:t xml:space="preserve">Layer 2 — The Agent Runtime (agent loop).</w:t>
      </w:r>
      <w:r>
        <w:rPr>
          <w:rFonts w:ascii="Arial" w:cs="Arial" w:eastAsia="Arial" w:hAnsi="Arial"/>
          <w:sz w:val="24"/>
          <w:szCs w:val="24"/>
        </w:rPr>
        <w:t xml:space="preserve"> Takes a user message, assembles context, calls the LLM, interprets the response, executes tool calls, and loops until done. OpenClaw has its own built-in agent runtime.</w:t>
      </w:r>
    </w:p>
    <w:p>
      <w:pPr>
        <w:spacing w:after="200"/>
      </w:pPr>
      <w:r>
        <w:rPr>
          <w:rFonts w:ascii="Arial" w:cs="Arial" w:eastAsia="Arial" w:hAnsi="Arial"/>
          <w:sz w:val="24"/>
          <w:szCs w:val="24"/>
        </w:rPr>
        <w:t xml:space="preserve"/>
      </w:r>
      <w:r>
        <w:rPr>
          <w:rFonts w:ascii="Arial" w:cs="Arial" w:eastAsia="Arial" w:hAnsi="Arial"/>
          <w:b/>
          <w:bCs/>
          <w:sz w:val="24"/>
          <w:szCs w:val="24"/>
        </w:rPr>
        <w:t xml:space="preserve">Layer 3 — The Agent SDK (programmable orchestration harness).</w:t>
      </w:r>
      <w:r>
        <w:rPr>
          <w:rFonts w:ascii="Arial" w:cs="Arial" w:eastAsia="Arial" w:hAnsi="Arial"/>
          <w:sz w:val="24"/>
          <w:szCs w:val="24"/>
        </w:rPr>
        <w:t xml:space="preserve"> The Claude Agent SDK and OpenAI Agents SDK provide frameworks for building Layer 2.</w:t>
      </w:r>
    </w:p>
    <w:p>
      <w:pPr>
        <w:spacing w:after="200"/>
      </w:pPr>
      <w:r>
        <w:rPr>
          <w:rFonts w:ascii="Arial" w:cs="Arial" w:eastAsia="Arial" w:hAnsi="Arial"/>
          <w:sz w:val="24"/>
          <w:szCs w:val="24"/>
        </w:rPr>
        <w:t xml:space="preserve">The critical architectural insight: if you use OpenClaw, you already have Layer 2. Plugging an Agent SDK into OpenClaw would mean running an agent loop inside an agent loop—redundant, wasteful, and architecturally confused.</w:t>
      </w:r>
    </w:p>
    <w:p>
      <w:pPr>
        <w:pStyle w:val="Heading2"/>
      </w:pPr>
      <w:r>
        <w:rPr>
          <w:rFonts w:ascii="Arial" w:cs="Arial" w:eastAsia="Arial" w:hAnsi="Arial"/>
        </w:rPr>
        <w:t xml:space="preserve">3.2 Claude Agent SDK: Strengths and Misfit</w:t>
      </w:r>
    </w:p>
    <w:p>
      <w:pPr>
        <w:spacing w:after="200"/>
      </w:pPr>
      <w:r>
        <w:rPr>
          <w:rFonts w:ascii="Arial" w:cs="Arial" w:eastAsia="Arial" w:hAnsi="Arial"/>
          <w:sz w:val="24"/>
          <w:szCs w:val="24"/>
        </w:rPr>
        <w:t xml:space="preserve">The Claude Agent SDK (formerly Claude Code SDK) gives agents a full computer. It includes built-in tools for reading files, running commands, and editing code. It bundles the Claude Code CLI and is available in Python and TypeScript. It is Claude-only (locked to Anthropic models) and computer-centric (optimized for file system, terminal, and code execution).</w:t>
      </w:r>
    </w:p>
    <w:p>
      <w:pPr>
        <w:spacing w:after="200"/>
      </w:pPr>
      <w:r>
        <w:rPr>
          <w:rFonts w:ascii="Arial" w:cs="Arial" w:eastAsia="Arial" w:hAnsi="Arial"/>
          <w:sz w:val="24"/>
          <w:szCs w:val="24"/>
        </w:rPr>
        <w:t xml:space="preserve">For TutorClaw, this is the wrong tool. A tutor doesn’t need a computer—it needs pedagogical orchestration and conversational depth. The Claude Agent SDK is designed for Digital FTE development workflows (where agents write code), not for the tutor itself.</w:t>
      </w:r>
    </w:p>
    <w:p>
      <w:pPr>
        <w:pStyle w:val="Heading2"/>
      </w:pPr>
      <w:r>
        <w:rPr>
          <w:rFonts w:ascii="Arial" w:cs="Arial" w:eastAsia="Arial" w:hAnsi="Arial"/>
        </w:rPr>
        <w:t xml:space="preserve">3.3 OpenAI Agents SDK: Strengths and Consideration</w:t>
      </w:r>
    </w:p>
    <w:p>
      <w:pPr>
        <w:spacing w:after="200"/>
      </w:pPr>
      <w:r>
        <w:rPr>
          <w:rFonts w:ascii="Arial" w:cs="Arial" w:eastAsia="Arial" w:hAnsi="Arial"/>
          <w:sz w:val="24"/>
          <w:szCs w:val="24"/>
        </w:rPr>
        <w:t xml:space="preserve">The OpenAI Agents SDK is lightweight and model-agnostic, supporting 100+ LLMs through the Chat Completions API. Its primitives—Agents, Handoffs, Guardrails, Sessions, and Tracing—are purpose-built for multi-agent orchestration. The Handoffs mechanism could enable specialized sub-agents for different PRIMM-AI+ stages.</w:t>
      </w:r>
    </w:p>
    <w:p>
      <w:pPr>
        <w:spacing w:after="200"/>
      </w:pPr>
      <w:r>
        <w:rPr>
          <w:rFonts w:ascii="Arial" w:cs="Arial" w:eastAsia="Arial" w:hAnsi="Arial"/>
          <w:sz w:val="24"/>
          <w:szCs w:val="24"/>
        </w:rPr>
        <w:t xml:space="preserve">However, since OpenClaw already provides an agent runtime with session management, memory persistence, and tool execution, the SDK’s value would be additive only if building outside of OpenClaw. Within OpenClaw, it’s redundant.</w:t>
      </w:r>
    </w:p>
    <w:p>
      <w:pPr>
        <w:pStyle w:val="Heading2"/>
      </w:pPr>
      <w:r>
        <w:rPr>
          <w:rFonts w:ascii="Arial" w:cs="Arial" w:eastAsia="Arial" w:hAnsi="Arial"/>
        </w:rPr>
        <w:t xml:space="preserve">3.4 Decision: Use OpenClaw’s Native Runtime + Claude Models</w:t>
      </w:r>
    </w:p>
    <w:p>
      <w:pPr>
        <w:spacing w:after="200"/>
      </w:pPr>
      <w:r>
        <w:rPr>
          <w:rFonts w:ascii="Arial" w:cs="Arial" w:eastAsia="Arial" w:hAnsi="Arial"/>
          <w:sz w:val="24"/>
          <w:szCs w:val="24"/>
        </w:rPr>
        <w:t xml:space="preserve">The clean architecture was determined to be:</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OpenClaw Gateway</w:t>
      </w:r>
      <w:r>
        <w:rPr>
          <w:rFonts w:ascii="Arial" w:cs="Arial" w:eastAsia="Arial" w:hAnsi="Arial"/>
          <w:sz w:val="24"/>
          <w:szCs w:val="24"/>
        </w:rPr>
        <w:t xml:space="preserve"> = Body (WhatsApp/Telegram delivery, session management, persistent memory, heartbeats, 24/7 availability)</w:t>
      </w:r>
    </w:p>
    <w:p>
      <w:pPr>
        <w:spacing w:after="200"/>
      </w:pPr>
      <w:r>
        <w:rPr>
          <w:rFonts w:ascii="Arial" w:cs="Arial" w:eastAsia="Arial" w:hAnsi="Arial"/>
          <w:sz w:val="24"/>
          <w:szCs w:val="24"/>
        </w:rPr>
        <w:t xml:space="preserve"/>
      </w:r>
      <w:r>
        <w:rPr>
          <w:rFonts w:ascii="Arial" w:cs="Arial" w:eastAsia="Arial" w:hAnsi="Arial"/>
          <w:b/>
          <w:bCs/>
          <w:sz w:val="24"/>
          <w:szCs w:val="24"/>
        </w:rPr>
        <w:t xml:space="preserve">OpenClaw’s built-in Agent Runtime</w:t>
      </w:r>
      <w:r>
        <w:rPr>
          <w:rFonts w:ascii="Arial" w:cs="Arial" w:eastAsia="Arial" w:hAnsi="Arial"/>
          <w:sz w:val="24"/>
          <w:szCs w:val="24"/>
        </w:rPr>
        <w:t xml:space="preserve"> = Brain orchestration (the agent loop that calls the LLM, manages context, executes tools)</w:t>
      </w:r>
    </w:p>
    <w:p>
      <w:pPr>
        <w:spacing w:after="200"/>
      </w:pPr>
      <w:r>
        <w:rPr>
          <w:rFonts w:ascii="Arial" w:cs="Arial" w:eastAsia="Arial" w:hAnsi="Arial"/>
          <w:sz w:val="24"/>
          <w:szCs w:val="24"/>
        </w:rPr>
        <w:t xml:space="preserve"/>
      </w:r>
      <w:r>
        <w:rPr>
          <w:rFonts w:ascii="Arial" w:cs="Arial" w:eastAsia="Arial" w:hAnsi="Arial"/>
          <w:b/>
          <w:bCs/>
          <w:sz w:val="24"/>
          <w:szCs w:val="24"/>
        </w:rPr>
        <w:t xml:space="preserve">Claude (Sonnet/Opus via API key)</w:t>
      </w:r>
      <w:r>
        <w:rPr>
          <w:rFonts w:ascii="Arial" w:cs="Arial" w:eastAsia="Arial" w:hAnsi="Arial"/>
          <w:sz w:val="24"/>
          <w:szCs w:val="24"/>
        </w:rPr>
        <w:t xml:space="preserve"> = Brain intelligence (the actual LLM doing pedagogical reasoning)</w:t>
      </w:r>
    </w:p>
    <w:p>
      <w:pPr>
        <w:spacing w:after="200"/>
      </w:pPr>
      <w:r>
        <w:rPr>
          <w:rFonts w:ascii="Arial" w:cs="Arial" w:eastAsia="Arial" w:hAnsi="Arial"/>
          <w:sz w:val="24"/>
          <w:szCs w:val="24"/>
        </w:rPr>
        <w:t xml:space="preserve"/>
      </w:r>
      <w:r>
        <w:rPr>
          <w:rFonts w:ascii="Arial" w:cs="Arial" w:eastAsia="Arial" w:hAnsi="Arial"/>
          <w:b/>
          <w:bCs/>
          <w:sz w:val="24"/>
          <w:szCs w:val="24"/>
        </w:rPr>
        <w:t xml:space="preserve">Custom OpenClaw Skills (SKILL.md files)</w:t>
      </w:r>
      <w:r>
        <w:rPr>
          <w:rFonts w:ascii="Arial" w:cs="Arial" w:eastAsia="Arial" w:hAnsi="Arial"/>
          <w:sz w:val="24"/>
          <w:szCs w:val="24"/>
        </w:rPr>
        <w:t xml:space="preserve"> = Brain instructions (PHPM/PRIMM-AI+ framework, Verification Ladder, Error Taxonomy)</w:t>
      </w:r>
    </w:p>
    <w:p>
      <w:pPr>
        <w:spacing w:after="200"/>
      </w:pPr>
      <w:r>
        <w:rPr>
          <w:rFonts w:ascii="Arial" w:cs="Arial" w:eastAsia="Arial" w:hAnsi="Arial"/>
          <w:sz w:val="24"/>
          <w:szCs w:val="24"/>
        </w:rPr>
        <w:t xml:space="preserve">Claude was chosen as the primary model because tutoring demands long context, careful multi-step planning, and faithful execution of complex pedagogical instructions—areas where Claude excels.</w:t>
      </w:r>
    </w:p>
    <w:p>
      <w:pPr>
        <w:pStyle w:val="Heading1"/>
      </w:pPr>
      <w:r>
        <w:rPr>
          <w:rFonts w:ascii="Arial" w:cs="Arial" w:eastAsia="Arial" w:hAnsi="Arial"/>
        </w:rPr>
        <w:t xml:space="preserve">4. The Scale Wall: Why OpenClaw Cannot Serve 16,000 Learners</w:t>
      </w:r>
    </w:p>
    <w:p>
      <w:pPr>
        <w:spacing w:after="200"/>
      </w:pPr>
      <w:r>
        <w:rPr>
          <w:rFonts w:ascii="Arial" w:cs="Arial" w:eastAsia="Arial" w:hAnsi="Arial"/>
          <w:sz w:val="24"/>
          <w:szCs w:val="24"/>
        </w:rPr>
        <w:t xml:space="preserve">This was the pivotal moment in the architecture process. The requirement was zero-friction onboarding: the book reader clicks a button, provides their WhatsApp number, and the conversation begins. No installation. No QR code scanning. No setup.</w:t>
      </w:r>
    </w:p>
    <w:p>
      <w:pPr>
        <w:pStyle w:val="Heading2"/>
      </w:pPr>
      <w:r>
        <w:rPr>
          <w:rFonts w:ascii="Arial" w:cs="Arial" w:eastAsia="Arial" w:hAnsi="Arial"/>
        </w:rPr>
        <w:t xml:space="preserve">4.1 OpenClaw’s Single-Tenant Security Model</w:t>
      </w:r>
    </w:p>
    <w:p>
      <w:pPr>
        <w:spacing w:after="200"/>
      </w:pPr>
      <w:r>
        <w:rPr>
          <w:rFonts w:ascii="Arial" w:cs="Arial" w:eastAsia="Arial" w:hAnsi="Arial"/>
          <w:sz w:val="24"/>
          <w:szCs w:val="24"/>
        </w:rPr>
        <w:t xml:space="preserve">OpenClaw’s own security documentation is explicit: “OpenClaw security guidance assumes a personal assistant deployment: one trusted operator boundary per gateway. It is not a hostile multi-tenant security boundary for multiple adversarial users sharing one agent/gateway.”</w:t>
      </w:r>
    </w:p>
    <w:p>
      <w:pPr>
        <w:spacing w:after="200"/>
      </w:pPr>
      <w:r>
        <w:rPr>
          <w:rFonts w:ascii="Arial" w:cs="Arial" w:eastAsia="Arial" w:hAnsi="Arial"/>
          <w:sz w:val="24"/>
          <w:szCs w:val="24"/>
        </w:rPr>
        <w:t xml:space="preserve">OpenClaw connects to WhatsApp through the Baileys library—a reverse-engineered, open-source implementation of the WhatsApp Web multi-device protocol. Your phone stays the primary device, and the Gateway acts as a linked companion. Baileys supports up to 4 linked devices per phone number, and your phone must remain online.</w:t>
      </w:r>
    </w:p>
    <w:p>
      <w:pPr>
        <w:spacing w:after="200"/>
      </w:pPr>
      <w:r>
        <w:rPr>
          <w:rFonts w:ascii="Arial" w:cs="Arial" w:eastAsia="Arial" w:hAnsi="Arial"/>
          <w:sz w:val="24"/>
          <w:szCs w:val="24"/>
        </w:rPr>
        <w:t xml:space="preserve">For a personal assistant, this is fine. For 16,000 learners sending messages to a single tutoring number? Architecturally impossible.</w:t>
      </w:r>
    </w:p>
    <w:p>
      <w:pPr>
        <w:pStyle w:val="Heading2"/>
      </w:pPr>
      <w:r>
        <w:rPr>
          <w:rFonts w:ascii="Arial" w:cs="Arial" w:eastAsia="Arial" w:hAnsi="Arial"/>
        </w:rPr>
        <w:t xml:space="preserve">4.2 The Multi-Tenant Gap</w:t>
      </w:r>
    </w:p>
    <w:p>
      <w:pPr>
        <w:spacing w:after="200"/>
      </w:pPr>
      <w:r>
        <w:rPr>
          <w:rFonts w:ascii="Arial" w:cs="Arial" w:eastAsia="Arial" w:hAnsi="Arial"/>
          <w:sz w:val="24"/>
          <w:szCs w:val="24"/>
        </w:rPr>
        <w:t xml:space="preserve">The OpenClaw community has recognized this limitation. A GitHub issue for an “Agents Plane”—an infrastructure layer for multi-tenant agent provisioning—exists as a proposal, not shipping code. It explicitly notes: “Channel provisioning—How do we automate WhatsApp/Telegram setup per agent? WhatsApp Business API requires phone numbers.”</w:t>
      </w:r>
    </w:p>
    <w:p>
      <w:pPr>
        <w:spacing w:after="200"/>
      </w:pPr>
      <w:r>
        <w:rPr>
          <w:rFonts w:ascii="Arial" w:cs="Arial" w:eastAsia="Arial" w:hAnsi="Arial"/>
          <w:sz w:val="24"/>
          <w:szCs w:val="24"/>
        </w:rPr>
        <w:t xml:space="preserve">The gap between OpenClaw’s personal-agent model and TutorClaw’s multi-tenant educational platform could not be bridged without essentially rebuilding the Body layer from scratch.</w:t>
      </w:r>
    </w:p>
    <w:p>
      <w:pPr>
        <w:pStyle w:val="Heading2"/>
      </w:pPr>
      <w:r>
        <w:rPr>
          <w:rFonts w:ascii="Arial" w:cs="Arial" w:eastAsia="Arial" w:hAnsi="Arial"/>
        </w:rPr>
        <w:t xml:space="preserve">4.3 The Pivot: WhatsApp Business Cloud API</w:t>
      </w:r>
    </w:p>
    <w:p>
      <w:pPr>
        <w:spacing w:after="200"/>
      </w:pPr>
      <w:r>
        <w:rPr>
          <w:rFonts w:ascii="Arial" w:cs="Arial" w:eastAsia="Arial" w:hAnsi="Arial"/>
          <w:sz w:val="24"/>
          <w:szCs w:val="24"/>
        </w:rPr>
        <w:t xml:space="preserve">The solution was to replace OpenClaw’s Baileys-based WhatsApp connection with Meta’s official WhatsApp Business Cloud API. The Cloud API is the current standard; Meta has effectively discontinued the on-premises option. It handles up to 500 messages per second with no servers required. Since July 2025, Meta charges per delivered template message, with service conversations (customer-initiated) being completely free.</w:t>
      </w:r>
    </w:p>
    <w:p>
      <w:pPr>
        <w:spacing w:after="200"/>
      </w:pPr>
      <w:r>
        <w:rPr>
          <w:rFonts w:ascii="Arial" w:cs="Arial" w:eastAsia="Arial" w:hAnsi="Arial"/>
          <w:sz w:val="24"/>
          <w:szCs w:val="24"/>
        </w:rPr>
        <w:t xml:space="preserve">This is critical for TutorClaw: once a learner initiates a conversation (which they do by replying “Start”), all subsequent replies within 24 hours are free. Since students message daily for tutoring, most WhatsApp messaging costs are effectively zero.</w:t>
      </w:r>
    </w:p>
    <w:p>
      <w:pPr>
        <w:pStyle w:val="Heading1"/>
      </w:pPr>
      <w:r>
        <w:rPr>
          <w:rFonts w:ascii="Arial" w:cs="Arial" w:eastAsia="Arial" w:hAnsi="Arial"/>
        </w:rPr>
        <w:t xml:space="preserve">5. The Final TutorClaw Architecture</w:t>
      </w:r>
    </w:p>
    <w:p>
      <w:pPr>
        <w:pStyle w:val="Heading2"/>
      </w:pPr>
      <w:r>
        <w:rPr>
          <w:rFonts w:ascii="Arial" w:cs="Arial" w:eastAsia="Arial" w:hAnsi="Arial"/>
        </w:rPr>
        <w:t xml:space="preserve">5.1 Layer 0: Zero-Friction Onboarding</w:t>
      </w:r>
    </w:p>
    <w:p>
      <w:pPr>
        <w:spacing w:after="200"/>
      </w:pPr>
      <w:r>
        <w:rPr>
          <w:rFonts w:ascii="Arial" w:cs="Arial" w:eastAsia="Arial" w:hAnsi="Arial"/>
          <w:sz w:val="24"/>
          <w:szCs w:val="24"/>
        </w:rPr>
        <w:t xml:space="preserve">The book’s website (agentfactory.panaversity.org) features a “Start Learning with TutorClaw” button. The learner clicks it, enters their WhatsApp number and name, checks a consent box (required by Meta for opt-in), and clicks Submit. The backend registers the learner, stores their profile, and sends a welcome template message via WhatsApp Business Cloud API. The learner replies from WhatsApp. TutorClaw is live in their pocket.</w:t>
      </w:r>
    </w:p>
    <w:p>
      <w:pPr>
        <w:pStyle w:val="Heading2"/>
      </w:pPr>
      <w:r>
        <w:rPr>
          <w:rFonts w:ascii="Arial" w:cs="Arial" w:eastAsia="Arial" w:hAnsi="Arial"/>
        </w:rPr>
        <w:t xml:space="preserve">5.2 Layer 1: Messaging Gateway</w:t>
      </w:r>
    </w:p>
    <w:p>
      <w:pPr>
        <w:spacing w:after="200"/>
      </w:pPr>
      <w:r>
        <w:rPr>
          <w:rFonts w:ascii="Arial" w:cs="Arial" w:eastAsia="Arial" w:hAnsi="Arial"/>
          <w:sz w:val="24"/>
          <w:szCs w:val="24"/>
        </w:rPr>
        <w:t xml:space="preserve"/>
      </w:r>
      <w:r>
        <w:rPr>
          <w:rFonts w:ascii="Arial" w:cs="Arial" w:eastAsia="Arial" w:hAnsi="Arial"/>
          <w:b/>
          <w:bCs/>
          <w:sz w:val="24"/>
          <w:szCs w:val="24"/>
        </w:rPr>
        <w:t xml:space="preserve">WhatsApp Business Cloud API</w:t>
      </w:r>
      <w:r>
        <w:rPr>
          <w:rFonts w:ascii="Arial" w:cs="Arial" w:eastAsia="Arial" w:hAnsi="Arial"/>
          <w:sz w:val="24"/>
          <w:szCs w:val="24"/>
        </w:rPr>
        <w:t xml:space="preserve"> — official Meta API with a registered WhatsApp Business Account (WABA), verified business identity (PIAIC/Panaversity), dedicated phone number, and webhook URL for incoming messages. Outgoing messages are sent via Meta’s Graph API. Handles 500+ messages per second.</w:t>
      </w:r>
    </w:p>
    <w:p>
      <w:pPr>
        <w:spacing w:after="200"/>
      </w:pPr>
      <w:r>
        <w:rPr>
          <w:rFonts w:ascii="Arial" w:cs="Arial" w:eastAsia="Arial" w:hAnsi="Arial"/>
          <w:sz w:val="24"/>
          <w:szCs w:val="24"/>
        </w:rPr>
        <w:t xml:space="preserve"/>
      </w:r>
      <w:r>
        <w:rPr>
          <w:rFonts w:ascii="Arial" w:cs="Arial" w:eastAsia="Arial" w:hAnsi="Arial"/>
          <w:b/>
          <w:bCs/>
          <w:sz w:val="24"/>
          <w:szCs w:val="24"/>
        </w:rPr>
        <w:t xml:space="preserve">Webhook Receiver</w:t>
      </w:r>
      <w:r>
        <w:rPr>
          <w:rFonts w:ascii="Arial" w:cs="Arial" w:eastAsia="Arial" w:hAnsi="Arial"/>
          <w:sz w:val="24"/>
          <w:szCs w:val="24"/>
        </w:rPr>
        <w:t xml:space="preserve"> — a lightweight FastAPI or Node.js service that receives incoming WhatsApp messages from Meta’s webhook, identifies the learner by phone number, and routes to the Brain.</w:t>
      </w:r>
    </w:p>
    <w:p>
      <w:pPr>
        <w:spacing w:after="200"/>
      </w:pPr>
      <w:r>
        <w:rPr>
          <w:rFonts w:ascii="Arial" w:cs="Arial" w:eastAsia="Arial" w:hAnsi="Arial"/>
          <w:sz w:val="24"/>
          <w:szCs w:val="24"/>
        </w:rPr>
        <w:t xml:space="preserve"/>
      </w:r>
      <w:r>
        <w:rPr>
          <w:rFonts w:ascii="Arial" w:cs="Arial" w:eastAsia="Arial" w:hAnsi="Arial"/>
          <w:b/>
          <w:bCs/>
          <w:sz w:val="24"/>
          <w:szCs w:val="24"/>
        </w:rPr>
        <w:t xml:space="preserve">Message Sender</w:t>
      </w:r>
      <w:r>
        <w:rPr>
          <w:rFonts w:ascii="Arial" w:cs="Arial" w:eastAsia="Arial" w:hAnsi="Arial"/>
          <w:sz w:val="24"/>
          <w:szCs w:val="24"/>
        </w:rPr>
        <w:t xml:space="preserve"> — sends responses back via the Cloud API, including media (images, PDFs for chapter content), interactive buttons (for quiz options, PRIMM stage navigation), and list messages (for chapter selection).</w:t>
      </w:r>
    </w:p>
    <w:p>
      <w:pPr>
        <w:pStyle w:val="Heading2"/>
      </w:pPr>
      <w:r>
        <w:rPr>
          <w:rFonts w:ascii="Arial" w:cs="Arial" w:eastAsia="Arial" w:hAnsi="Arial"/>
        </w:rPr>
        <w:t xml:space="preserve">5.3 Layer 2: Multi-Tenant Session Manager</w:t>
      </w:r>
    </w:p>
    <w:p>
      <w:pPr>
        <w:spacing w:after="200"/>
      </w:pPr>
      <w:r>
        <w:rPr>
          <w:rFonts w:ascii="Arial" w:cs="Arial" w:eastAsia="Arial" w:hAnsi="Arial"/>
          <w:sz w:val="24"/>
          <w:szCs w:val="24"/>
        </w:rPr>
        <w:t xml:space="preserve"/>
      </w:r>
      <w:r>
        <w:rPr>
          <w:rFonts w:ascii="Arial" w:cs="Arial" w:eastAsia="Arial" w:hAnsi="Arial"/>
          <w:b/>
          <w:bCs/>
          <w:sz w:val="24"/>
          <w:szCs w:val="24"/>
        </w:rPr>
        <w:t xml:space="preserve">Learner Database (PostgreSQL)</w:t>
      </w:r>
      <w:r>
        <w:rPr>
          <w:rFonts w:ascii="Arial" w:cs="Arial" w:eastAsia="Arial" w:hAnsi="Arial"/>
          <w:sz w:val="24"/>
          <w:szCs w:val="24"/>
        </w:rPr>
        <w:t xml:space="preserve"> — stores each learner’s profile: name, phone number, Stripe customer ID, subscription tier, current chapter, current PRIMM-AI+ stage, confidence scores, Error Taxonomy history, completed Parsons problems, and rubric results.</w:t>
      </w:r>
    </w:p>
    <w:p>
      <w:pPr>
        <w:spacing w:after="200"/>
      </w:pPr>
      <w:r>
        <w:rPr>
          <w:rFonts w:ascii="Arial" w:cs="Arial" w:eastAsia="Arial" w:hAnsi="Arial"/>
          <w:sz w:val="24"/>
          <w:szCs w:val="24"/>
        </w:rPr>
        <w:t xml:space="preserve"/>
      </w:r>
      <w:r>
        <w:rPr>
          <w:rFonts w:ascii="Arial" w:cs="Arial" w:eastAsia="Arial" w:hAnsi="Arial"/>
          <w:b/>
          <w:bCs/>
          <w:sz w:val="24"/>
          <w:szCs w:val="24"/>
        </w:rPr>
        <w:t xml:space="preserve">Conversation History Store</w:t>
      </w:r>
      <w:r>
        <w:rPr>
          <w:rFonts w:ascii="Arial" w:cs="Arial" w:eastAsia="Arial" w:hAnsi="Arial"/>
          <w:sz w:val="24"/>
          <w:szCs w:val="24"/>
        </w:rPr>
        <w:t xml:space="preserve"> — recent conversation turns per learner (last 20–30 turns plus a summary of earlier conversations), used to build context for Claude while keeping token costs manageable.</w:t>
      </w:r>
    </w:p>
    <w:p>
      <w:pPr>
        <w:spacing w:after="200"/>
      </w:pPr>
      <w:r>
        <w:rPr>
          <w:rFonts w:ascii="Arial" w:cs="Arial" w:eastAsia="Arial" w:hAnsi="Arial"/>
          <w:sz w:val="24"/>
          <w:szCs w:val="24"/>
        </w:rPr>
        <w:t xml:space="preserve"/>
      </w:r>
      <w:r>
        <w:rPr>
          <w:rFonts w:ascii="Arial" w:cs="Arial" w:eastAsia="Arial" w:hAnsi="Arial"/>
          <w:b/>
          <w:bCs/>
          <w:sz w:val="24"/>
          <w:szCs w:val="24"/>
        </w:rPr>
        <w:t xml:space="preserve">Progress Tracker</w:t>
      </w:r>
      <w:r>
        <w:rPr>
          <w:rFonts w:ascii="Arial" w:cs="Arial" w:eastAsia="Arial" w:hAnsi="Arial"/>
          <w:sz w:val="24"/>
          <w:szCs w:val="24"/>
        </w:rPr>
        <w:t xml:space="preserve"> — tracks position in the 30-chapter curriculum, completed Verification Ladder steps, identified weak areas, feeding into context engineering for personalized tutoring.</w:t>
      </w:r>
    </w:p>
    <w:p>
      <w:pPr>
        <w:pStyle w:val="Heading2"/>
      </w:pPr>
      <w:r>
        <w:rPr>
          <w:rFonts w:ascii="Arial" w:cs="Arial" w:eastAsia="Arial" w:hAnsi="Arial"/>
        </w:rPr>
        <w:t xml:space="preserve">5.4 Layer 3: The Brain (Context Engineering + LLM API via OpenRouter)</w:t>
      </w:r>
    </w:p>
    <w:p>
      <w:pPr>
        <w:spacing w:after="200"/>
      </w:pPr>
      <w:r>
        <w:rPr>
          <w:rFonts w:ascii="Arial" w:cs="Arial" w:eastAsia="Arial" w:hAnsi="Arial"/>
          <w:sz w:val="24"/>
          <w:szCs w:val="24"/>
        </w:rPr>
        <w:t xml:space="preserve">For each incoming learner message, the Brain performs a sequence of operations:</w:t>
      </w:r>
    </w:p>
    <w:p>
      <w:pPr>
        <w:spacing w:after="200"/>
      </w:pPr>
      <w:r>
        <w:rPr>
          <w:rFonts w:ascii="Arial" w:cs="Arial" w:eastAsia="Arial" w:hAnsi="Arial"/>
          <w:sz w:val="24"/>
          <w:szCs w:val="24"/>
        </w:rPr>
        <w:t xml:space="preserve">1. </w:t>
      </w:r>
      <w:r>
        <w:rPr>
          <w:rFonts w:ascii="Arial" w:cs="Arial" w:eastAsia="Arial" w:hAnsi="Arial"/>
          <w:b/>
          <w:bCs/>
          <w:sz w:val="24"/>
          <w:szCs w:val="24"/>
        </w:rPr>
        <w:t xml:space="preserve">Retrieves learner state</w:t>
      </w:r>
      <w:r>
        <w:rPr>
          <w:rFonts w:ascii="Arial" w:cs="Arial" w:eastAsia="Arial" w:hAnsi="Arial"/>
          <w:sz w:val="24"/>
          <w:szCs w:val="24"/>
        </w:rPr>
        <w:t xml:space="preserve"> from the database (chapter, stage, history, confidence scores, Stripe tier).</w:t>
      </w:r>
    </w:p>
    <w:p>
      <w:pPr>
        <w:spacing w:after="200"/>
      </w:pPr>
      <w:r>
        <w:rPr>
          <w:rFonts w:ascii="Arial" w:cs="Arial" w:eastAsia="Arial" w:hAnsi="Arial"/>
          <w:sz w:val="24"/>
          <w:szCs w:val="24"/>
        </w:rPr>
        <w:t xml:space="preserve">2. </w:t>
      </w:r>
      <w:r>
        <w:rPr>
          <w:rFonts w:ascii="Arial" w:cs="Arial" w:eastAsia="Arial" w:hAnsi="Arial"/>
          <w:b/>
          <w:bCs/>
          <w:sz w:val="24"/>
          <w:szCs w:val="24"/>
        </w:rPr>
        <w:t xml:space="preserve">The Router</w:t>
      </w:r>
      <w:r>
        <w:rPr>
          <w:rFonts w:ascii="Arial" w:cs="Arial" w:eastAsia="Arial" w:hAnsi="Arial"/>
          <w:sz w:val="24"/>
          <w:szCs w:val="24"/>
        </w:rPr>
        <w:t xml:space="preserve"> selects the appropriate model based on learner tier, message complexity, PRIMM stage, and chapter difficulty—outputting a model string for OpenRouter.</w:t>
      </w:r>
    </w:p>
    <w:p>
      <w:pPr>
        <w:spacing w:after="200"/>
      </w:pPr>
      <w:r>
        <w:rPr>
          <w:rFonts w:ascii="Arial" w:cs="Arial" w:eastAsia="Arial" w:hAnsi="Arial"/>
          <w:sz w:val="24"/>
          <w:szCs w:val="24"/>
        </w:rPr>
        <w:t xml:space="preserve">3. </w:t>
      </w:r>
      <w:r>
        <w:rPr>
          <w:rFonts w:ascii="Arial" w:cs="Arial" w:eastAsia="Arial" w:hAnsi="Arial"/>
          <w:b/>
          <w:bCs/>
          <w:sz w:val="24"/>
          <w:szCs w:val="24"/>
        </w:rPr>
        <w:t xml:space="preserve">Assembles the context window</w:t>
      </w:r>
      <w:r>
        <w:rPr>
          <w:rFonts w:ascii="Arial" w:cs="Arial" w:eastAsia="Arial" w:hAnsi="Arial"/>
          <w:sz w:val="24"/>
          <w:szCs w:val="24"/>
        </w:rPr>
        <w:t xml:space="preserve">: system prompt (PHPM/PRIMM-AI+ framework), learner profile injection, current chapter content chunk, recent conversation history, and pedagogical instructions for the current stage.</w:t>
      </w:r>
    </w:p>
    <w:p>
      <w:pPr>
        <w:spacing w:after="200"/>
      </w:pPr>
      <w:r>
        <w:rPr>
          <w:rFonts w:ascii="Arial" w:cs="Arial" w:eastAsia="Arial" w:hAnsi="Arial"/>
          <w:sz w:val="24"/>
          <w:szCs w:val="24"/>
        </w:rPr>
        <w:t xml:space="preserve">4. </w:t>
      </w:r>
      <w:r>
        <w:rPr>
          <w:rFonts w:ascii="Arial" w:cs="Arial" w:eastAsia="Arial" w:hAnsi="Arial"/>
          <w:b/>
          <w:bCs/>
          <w:sz w:val="24"/>
          <w:szCs w:val="24"/>
        </w:rPr>
        <w:t xml:space="preserve">Calls the LLM via OpenRouter’s single API endpoint</w:t>
      </w:r>
      <w:r>
        <w:rPr>
          <w:rFonts w:ascii="Arial" w:cs="Arial" w:eastAsia="Arial" w:hAnsi="Arial"/>
          <w:sz w:val="24"/>
          <w:szCs w:val="24"/>
        </w:rPr>
        <w:t xml:space="preserve"> with the selected model string.</w:t>
      </w:r>
    </w:p>
    <w:p>
      <w:pPr>
        <w:spacing w:after="200"/>
      </w:pPr>
      <w:r>
        <w:rPr>
          <w:rFonts w:ascii="Arial" w:cs="Arial" w:eastAsia="Arial" w:hAnsi="Arial"/>
          <w:sz w:val="24"/>
          <w:szCs w:val="24"/>
        </w:rPr>
        <w:t xml:space="preserve">5. </w:t>
      </w:r>
      <w:r>
        <w:rPr>
          <w:rFonts w:ascii="Arial" w:cs="Arial" w:eastAsia="Arial" w:hAnsi="Arial"/>
          <w:b/>
          <w:bCs/>
          <w:sz w:val="24"/>
          <w:szCs w:val="24"/>
        </w:rPr>
        <w:t xml:space="preserve">Parses the response</w:t>
      </w:r>
      <w:r>
        <w:rPr>
          <w:rFonts w:ascii="Arial" w:cs="Arial" w:eastAsia="Arial" w:hAnsi="Arial"/>
          <w:sz w:val="24"/>
          <w:szCs w:val="24"/>
        </w:rPr>
        <w:t xml:space="preserve">, updates learner state in the database, and sends the response back via WhatsApp.</w:t>
      </w:r>
    </w:p>
    <w:p>
      <w:pPr>
        <w:pStyle w:val="Heading2"/>
      </w:pPr>
      <w:r>
        <w:rPr>
          <w:rFonts w:ascii="Arial" w:cs="Arial" w:eastAsia="Arial" w:hAnsi="Arial"/>
        </w:rPr>
        <w:t xml:space="preserve">5.5 Layer 4: Content Store</w:t>
      </w:r>
    </w:p>
    <w:p>
      <w:pPr>
        <w:spacing w:after="200"/>
      </w:pPr>
      <w:r>
        <w:rPr>
          <w:rFonts w:ascii="Arial" w:cs="Arial" w:eastAsia="Arial" w:hAnsi="Arial"/>
          <w:sz w:val="24"/>
          <w:szCs w:val="24"/>
        </w:rPr>
        <w:t xml:space="preserve">The 30 chapters of The AI Agent Factory, structured as retrievable chunks. When TutorClaw needs to reference a specific concept, code example, or exercise, it pulls the relevant section and injects it into the context window. This can be as simple as organized Markdown files or a vector database for semantic search across the book’s content.</w:t>
      </w:r>
    </w:p>
    <w:p>
      <w:pPr>
        <w:pStyle w:val="Heading1"/>
      </w:pPr>
      <w:r>
        <w:rPr>
          <w:rFonts w:ascii="Arial" w:cs="Arial" w:eastAsia="Arial" w:hAnsi="Arial"/>
        </w:rPr>
        <w:t xml:space="preserve">6. The Economics Decision: Tiered Model Routing</w:t>
      </w:r>
    </w:p>
    <w:p>
      <w:pPr>
        <w:pStyle w:val="Heading2"/>
      </w:pPr>
      <w:r>
        <w:rPr>
          <w:rFonts w:ascii="Arial" w:cs="Arial" w:eastAsia="Arial" w:hAnsi="Arial"/>
        </w:rPr>
        <w:t xml:space="preserve">6.1 The Cost Spectrum</w:t>
      </w:r>
    </w:p>
    <w:p>
      <w:pPr>
        <w:spacing w:after="200"/>
      </w:pPr>
      <w:r>
        <w:rPr>
          <w:rFonts w:ascii="Arial" w:cs="Arial" w:eastAsia="Arial" w:hAnsi="Arial"/>
          <w:sz w:val="24"/>
          <w:szCs w:val="24"/>
        </w:rPr>
        <w:t xml:space="preserve">The pricing gap between frontier and commodity models in March 2026 is staggering. Claude Sonnet 4.5 output costs $15 per million tokens. GPT-5 Nano output costs $0.40 per million tokens—a 37x difference. DeepSeek V3.2 with cache hits is even cheaper at $0.028 per million input tokens.</w:t>
      </w:r>
    </w:p>
    <w:p>
      <w:pPr>
        <w:spacing w:after="200"/>
      </w:pPr>
      <w:r>
        <w:rPr>
          <w:rFonts w:ascii="Arial" w:cs="Arial" w:eastAsia="Arial" w:hAnsi="Arial"/>
          <w:sz w:val="24"/>
          <w:szCs w:val="24"/>
        </w:rPr>
        <w:t xml:space="preserve">Serving all 16,000 learners on Claude Sonnet would cost approximately $2,240/day ($67,000/month). Serving them all on GPT-5 Nano would cost approximately $48/day ($1,440/month). The architecture must tier intelligently.</w:t>
      </w:r>
    </w:p>
    <w:p>
      <w:pPr>
        <w:pStyle w:val="Heading2"/>
      </w:pPr>
      <w:r>
        <w:rPr>
          <w:rFonts w:ascii="Arial" w:cs="Arial" w:eastAsia="Arial" w:hAnsi="Arial"/>
        </w:rPr>
        <w:t xml:space="preserve">6.2 The Three-Tier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200"/>
        <w:gridCol w:w="2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Primary Model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Escalation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Pedagogy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Cost/Learner/Day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DeepSeek V3.2 / GPT-5 Nano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GPT-5 Nano (fallback)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PRIMM-Lite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$0.005–$0.01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Paid (PKR 500/mo)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GPT-5.4 mini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Sonnet (10–15%)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PRIMM-AI+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$0.04–$0.06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Premium (PKR 3,000/mo)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Sonnet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PRIMM-AI+ + Personalized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$0.12–$0.20</w:t>
            </w:r>
          </w:p>
        </w:tc>
      </w:tr>
    </w:tbl>
    <w:p>
      <w:pPr>
        <w:spacing w:after="100"/>
      </w:pPr>
    </w:p>
    <w:p>
      <w:pPr>
        <w:pStyle w:val="Heading2"/>
      </w:pPr>
      <w:r>
        <w:rPr>
          <w:rFonts w:ascii="Arial" w:cs="Arial" w:eastAsia="Arial" w:hAnsi="Arial"/>
        </w:rPr>
        <w:t xml:space="preserve">6.3 Critical Quality Caveat</w:t>
      </w:r>
    </w:p>
    <w:p>
      <w:pPr>
        <w:spacing w:after="200"/>
      </w:pPr>
      <w:r>
        <w:rPr>
          <w:rFonts w:ascii="Arial" w:cs="Arial" w:eastAsia="Arial" w:hAnsi="Arial"/>
          <w:sz w:val="24"/>
          <w:szCs w:val="24"/>
        </w:rPr>
        <w:t xml:space="preserve">Nano-class models will NOT faithfully follow the nine-enhancement PRIMM-AI+ system prompt. They approximate complex multi-step pedagogical instructions rather than executing them faithfully. For free-tier learners, TutorClaw uses a simplified “PRIMM-Lite” experience: basic Predict → Run → brief Investigate. The full framework is reserved for paid tiers where the model can handle it. The intelligence is in knowing which model to call when.</w:t>
      </w:r>
    </w:p>
    <w:p>
      <w:pPr>
        <w:pStyle w:val="Heading1"/>
      </w:pPr>
      <w:r>
        <w:rPr>
          <w:rFonts w:ascii="Arial" w:cs="Arial" w:eastAsia="Arial" w:hAnsi="Arial"/>
        </w:rPr>
        <w:t xml:space="preserve">7. The Infrastructure Stack: OpenRouter + Stripe</w:t>
      </w:r>
    </w:p>
    <w:p>
      <w:pPr>
        <w:pStyle w:val="Heading2"/>
      </w:pPr>
      <w:r>
        <w:rPr>
          <w:rFonts w:ascii="Arial" w:cs="Arial" w:eastAsia="Arial" w:hAnsi="Arial"/>
        </w:rPr>
        <w:t xml:space="preserve">7.1 OpenRouter as Unified LLM Gateway</w:t>
      </w:r>
    </w:p>
    <w:p>
      <w:pPr>
        <w:spacing w:after="200"/>
      </w:pPr>
      <w:r>
        <w:rPr>
          <w:rFonts w:ascii="Arial" w:cs="Arial" w:eastAsia="Arial" w:hAnsi="Arial"/>
          <w:sz w:val="24"/>
          <w:szCs w:val="24"/>
        </w:rPr>
        <w:t xml:space="preserve">OpenRouter is a unified API gateway providing access to 290+ AI models from every major provider—Anthropic, OpenAI, Google, DeepSeek, Meta, Mistral—through a single, OpenAI-compatible API. Model switching is a parameter change, not a code change. OpenRouter does not mark up provider pricing; the ~5.5% fee is on credit purchases. When routing/fallback is enabled, billing applies only to the successful model run.</w:t>
      </w:r>
    </w:p>
    <w:p>
      <w:pPr>
        <w:spacing w:after="200"/>
      </w:pPr>
      <w:r>
        <w:rPr>
          <w:rFonts w:ascii="Arial" w:cs="Arial" w:eastAsia="Arial" w:hAnsi="Arial"/>
          <w:sz w:val="24"/>
          <w:szCs w:val="24"/>
        </w:rPr>
        <w:t xml:space="preserve">For TutorClaw, this eliminates multi-provider API integration, provider failover logic, and model price monitoring from the engineering scope.</w:t>
      </w:r>
    </w:p>
    <w:p>
      <w:pPr>
        <w:pStyle w:val="Heading2"/>
      </w:pPr>
      <w:r>
        <w:rPr>
          <w:rFonts w:ascii="Arial" w:cs="Arial" w:eastAsia="Arial" w:hAnsi="Arial"/>
        </w:rPr>
        <w:t xml:space="preserve">7.2 Stripe Token Billing for Monetization</w:t>
      </w:r>
    </w:p>
    <w:p>
      <w:pPr>
        <w:spacing w:after="200"/>
      </w:pPr>
      <w:r>
        <w:rPr>
          <w:rFonts w:ascii="Arial" w:cs="Arial" w:eastAsia="Arial" w:hAnsi="Arial"/>
          <w:sz w:val="24"/>
          <w:szCs w:val="24"/>
        </w:rPr>
        <w:t xml:space="preserve">Stripe’s new Token Billing feature (private preview as of March 2026) allows AI startups to charge a markup percentage on token usage automatically. Stripe syncs the latest model prices across providers, configures usage-based billing for the specified margin, and records usage automatically through its LLM proxy or supported partners including OpenRouter.</w:t>
      </w:r>
    </w:p>
    <w:p>
      <w:pPr>
        <w:spacing w:after="200"/>
      </w:pPr>
      <w:r>
        <w:rPr>
          <w:rFonts w:ascii="Arial" w:cs="Arial" w:eastAsia="Arial" w:hAnsi="Arial"/>
          <w:sz w:val="24"/>
          <w:szCs w:val="24"/>
        </w:rPr>
        <w:t xml:space="preserve">For TutorClaw, setting a 40% markup means that when a paid-tier learner consumes 100K tokens of GPT-5.4 mini, Stripe automatically calculates the cost, applies the margin, and adds it to the learner’s monthly invoice. This eliminates usage tracking, margin calculation, and invoicing from the engineering scope.</w:t>
      </w:r>
    </w:p>
    <w:p>
      <w:pPr>
        <w:pStyle w:val="Heading2"/>
      </w:pPr>
      <w:r>
        <w:rPr>
          <w:rFonts w:ascii="Arial" w:cs="Arial" w:eastAsia="Arial" w:hAnsi="Arial"/>
        </w:rPr>
        <w:t xml:space="preserve">7.3 What This Combination Eliminates</w:t>
      </w:r>
    </w:p>
    <w:p>
      <w:pPr>
        <w:spacing w:after="200"/>
      </w:pPr>
      <w:r>
        <w:rPr>
          <w:rFonts w:ascii="Arial" w:cs="Arial" w:eastAsia="Arial" w:hAnsi="Arial"/>
          <w:sz w:val="24"/>
          <w:szCs w:val="24"/>
        </w:rPr>
        <w:t xml:space="preserve">With OpenRouter + Stripe, the following engineering challenges are handled externally: multi-provider API integration, token usage tracking, margin calculation, subscription management, payment processing, provider failover logic, and model price monitoring. The engineering team’s focus narrows to the competitive advantage: WhatsApp Cloud API integration, session management, the model router, context engineering (the pedagogical prompts), the content store, and an admin dashboard.</w:t>
      </w:r>
    </w:p>
    <w:p>
      <w:pPr>
        <w:pStyle w:val="Heading1"/>
      </w:pPr>
      <w:r>
        <w:rPr>
          <w:rFonts w:ascii="Arial" w:cs="Arial" w:eastAsia="Arial" w:hAnsi="Arial"/>
        </w:rPr>
        <w:t xml:space="preserve">8. OpenClaw’s Remaining Role</w:t>
      </w:r>
    </w:p>
    <w:p>
      <w:pPr>
        <w:spacing w:after="200"/>
      </w:pPr>
      <w:r>
        <w:rPr>
          <w:rFonts w:ascii="Arial" w:cs="Arial" w:eastAsia="Arial" w:hAnsi="Arial"/>
          <w:sz w:val="24"/>
          <w:szCs w:val="24"/>
        </w:rPr>
        <w:t xml:space="preserve">OpenClaw is not wasted knowledge—it serves three purposes in the broader ecosystem:</w:t>
      </w:r>
    </w:p>
    <w:p>
      <w:pPr>
        <w:spacing w:after="200"/>
      </w:pPr>
      <w:r>
        <w:rPr>
          <w:rFonts w:ascii="Arial" w:cs="Arial" w:eastAsia="Arial" w:hAnsi="Arial"/>
          <w:sz w:val="24"/>
          <w:szCs w:val="24"/>
        </w:rPr>
        <w:t xml:space="preserve"/>
      </w:r>
      <w:r>
        <w:rPr>
          <w:rFonts w:ascii="Arial" w:cs="Arial" w:eastAsia="Arial" w:hAnsi="Arial"/>
          <w:b/>
          <w:bCs/>
          <w:sz w:val="24"/>
          <w:szCs w:val="24"/>
        </w:rPr>
        <w:t xml:space="preserve">Prototyping.</w:t>
      </w:r>
      <w:r>
        <w:rPr>
          <w:rFonts w:ascii="Arial" w:cs="Arial" w:eastAsia="Arial" w:hAnsi="Arial"/>
          <w:sz w:val="24"/>
          <w:szCs w:val="24"/>
        </w:rPr>
        <w:t xml:space="preserve"> Build and test TutorClaw’s pedagogical skills locally using OpenClaw + Claude on a personal WhatsApp account. Iterate on PRIMM-AI+ prompts, test the Verification Ladder flow, and refine the experience before deploying at scale.</w:t>
      </w:r>
    </w:p>
    <w:p>
      <w:pPr>
        <w:spacing w:after="200"/>
      </w:pPr>
      <w:r>
        <w:rPr>
          <w:rFonts w:ascii="Arial" w:cs="Arial" w:eastAsia="Arial" w:hAnsi="Arial"/>
          <w:sz w:val="24"/>
          <w:szCs w:val="24"/>
        </w:rPr>
        <w:t xml:space="preserve"/>
      </w:r>
      <w:r>
        <w:rPr>
          <w:rFonts w:ascii="Arial" w:cs="Arial" w:eastAsia="Arial" w:hAnsi="Arial"/>
          <w:b/>
          <w:bCs/>
          <w:sz w:val="24"/>
          <w:szCs w:val="24"/>
        </w:rPr>
        <w:t xml:space="preserve">In the book.</w:t>
      </w:r>
      <w:r>
        <w:rPr>
          <w:rFonts w:ascii="Arial" w:cs="Arial" w:eastAsia="Arial" w:hAnsi="Arial"/>
          <w:sz w:val="24"/>
          <w:szCs w:val="24"/>
        </w:rPr>
        <w:t xml:space="preserve"> OpenClaw is the teaching tool. Students learn agent architecture by building with OpenClaw (Body+Brain pattern). Then the curriculum reveals: “When you need to serve thousands of users, here’s how the architecture evolves.” This creates a powerful pedagogical arc from personal agent to production platform.</w:t>
      </w:r>
    </w:p>
    <w:p>
      <w:pPr>
        <w:spacing w:after="200"/>
      </w:pPr>
      <w:r>
        <w:rPr>
          <w:rFonts w:ascii="Arial" w:cs="Arial" w:eastAsia="Arial" w:hAnsi="Arial"/>
          <w:sz w:val="24"/>
          <w:szCs w:val="24"/>
        </w:rPr>
        <w:t xml:space="preserve"/>
      </w:r>
      <w:r>
        <w:rPr>
          <w:rFonts w:ascii="Arial" w:cs="Arial" w:eastAsia="Arial" w:hAnsi="Arial"/>
          <w:b/>
          <w:bCs/>
          <w:sz w:val="24"/>
          <w:szCs w:val="24"/>
        </w:rPr>
        <w:t xml:space="preserve">Power user mode.</w:t>
      </w:r>
      <w:r>
        <w:rPr>
          <w:rFonts w:ascii="Arial" w:cs="Arial" w:eastAsia="Arial" w:hAnsi="Arial"/>
          <w:sz w:val="24"/>
          <w:szCs w:val="24"/>
        </w:rPr>
        <w:t xml:space="preserve"> Advanced PIAIC students who want to run their own TutorClaw instance can use OpenClaw. The mass-market version uses the centralized Cloud API architecture.</w:t>
      </w:r>
    </w:p>
    <w:p>
      <w:pPr>
        <w:pStyle w:val="Heading1"/>
      </w:pPr>
      <w:r>
        <w:rPr>
          <w:rFonts w:ascii="Arial" w:cs="Arial" w:eastAsia="Arial" w:hAnsi="Arial"/>
        </w:rPr>
        <w:t xml:space="preserve">9. Conclusion: Lessons in AI Architecture</w:t>
      </w:r>
    </w:p>
    <w:p>
      <w:pPr>
        <w:spacing w:after="200"/>
      </w:pPr>
      <w:r>
        <w:rPr>
          <w:rFonts w:ascii="Arial" w:cs="Arial" w:eastAsia="Arial" w:hAnsi="Arial"/>
          <w:sz w:val="24"/>
          <w:szCs w:val="24"/>
        </w:rPr>
        <w:t xml:space="preserve">The TutorClaw architecture journey teaches several generalizable lessons:</w:t>
      </w:r>
    </w:p>
    <w:p>
      <w:pPr>
        <w:spacing w:after="200"/>
      </w:pPr>
      <w:r>
        <w:rPr>
          <w:rFonts w:ascii="Arial" w:cs="Arial" w:eastAsia="Arial" w:hAnsi="Arial"/>
          <w:sz w:val="24"/>
          <w:szCs w:val="24"/>
        </w:rPr>
        <w:t xml:space="preserve"/>
      </w:r>
      <w:r>
        <w:rPr>
          <w:rFonts w:ascii="Arial" w:cs="Arial" w:eastAsia="Arial" w:hAnsi="Arial"/>
          <w:b/>
          <w:bCs/>
          <w:sz w:val="24"/>
          <w:szCs w:val="24"/>
        </w:rPr>
        <w:t xml:space="preserve">Don’t confuse the agent runtime with the model.</w:t>
      </w:r>
      <w:r>
        <w:rPr>
          <w:rFonts w:ascii="Arial" w:cs="Arial" w:eastAsia="Arial" w:hAnsi="Arial"/>
          <w:sz w:val="24"/>
          <w:szCs w:val="24"/>
        </w:rPr>
        <w:t xml:space="preserve"> OpenClaw is a runtime. Claude is a model. The Agent SDKs are alternative runtimes. Stacking redundant tools at the same layer is the most common architectural mistake in agentic AI development.</w:t>
      </w:r>
    </w:p>
    <w:p>
      <w:pPr>
        <w:spacing w:after="200"/>
      </w:pPr>
      <w:r>
        <w:rPr>
          <w:rFonts w:ascii="Arial" w:cs="Arial" w:eastAsia="Arial" w:hAnsi="Arial"/>
          <w:sz w:val="24"/>
          <w:szCs w:val="24"/>
        </w:rPr>
        <w:t xml:space="preserve"/>
      </w:r>
      <w:r>
        <w:rPr>
          <w:rFonts w:ascii="Arial" w:cs="Arial" w:eastAsia="Arial" w:hAnsi="Arial"/>
          <w:b/>
          <w:bCs/>
          <w:sz w:val="24"/>
          <w:szCs w:val="24"/>
        </w:rPr>
        <w:t xml:space="preserve">Personal agent ≠ platform product.</w:t>
      </w:r>
      <w:r>
        <w:rPr>
          <w:rFonts w:ascii="Arial" w:cs="Arial" w:eastAsia="Arial" w:hAnsi="Arial"/>
          <w:sz w:val="24"/>
          <w:szCs w:val="24"/>
        </w:rPr>
        <w:t xml:space="preserve"> OpenClaw is brilliant for what it does—giving one person a powerful AI assistant. TutorClaw at 16,000 learners is a platform product. Different animal, different architecture. The Brain (Claude + pedagogy) stays identical; the Body changes entirely.</w:t>
      </w:r>
    </w:p>
    <w:p>
      <w:pPr>
        <w:spacing w:after="200"/>
      </w:pPr>
      <w:r>
        <w:rPr>
          <w:rFonts w:ascii="Arial" w:cs="Arial" w:eastAsia="Arial" w:hAnsi="Arial"/>
          <w:sz w:val="24"/>
          <w:szCs w:val="24"/>
        </w:rPr>
        <w:t xml:space="preserve"/>
      </w:r>
      <w:r>
        <w:rPr>
          <w:rFonts w:ascii="Arial" w:cs="Arial" w:eastAsia="Arial" w:hAnsi="Arial"/>
          <w:b/>
          <w:bCs/>
          <w:sz w:val="24"/>
          <w:szCs w:val="24"/>
        </w:rPr>
        <w:t xml:space="preserve">The intelligence is in the context engineering, not the framework.</w:t>
      </w:r>
      <w:r>
        <w:rPr>
          <w:rFonts w:ascii="Arial" w:cs="Arial" w:eastAsia="Arial" w:hAnsi="Arial"/>
          <w:sz w:val="24"/>
          <w:szCs w:val="24"/>
        </w:rPr>
        <w:t xml:space="preserve"> TutorClaw’s competitive moat is the PHPM/PRIMM-AI+ framework, the Verification Ladder, the Error Taxonomy, and the 30-chapter curriculum. The infrastructure—OpenRouter, Stripe, WhatsApp Cloud API—is commodity. The pedagogy is the IP.</w:t>
      </w:r>
    </w:p>
    <w:p>
      <w:pPr>
        <w:spacing w:after="200"/>
      </w:pPr>
      <w:r>
        <w:rPr>
          <w:rFonts w:ascii="Arial" w:cs="Arial" w:eastAsia="Arial" w:hAnsi="Arial"/>
          <w:sz w:val="24"/>
          <w:szCs w:val="24"/>
        </w:rPr>
        <w:t xml:space="preserve"/>
      </w:r>
      <w:r>
        <w:rPr>
          <w:rFonts w:ascii="Arial" w:cs="Arial" w:eastAsia="Arial" w:hAnsi="Arial"/>
          <w:b/>
          <w:bCs/>
          <w:sz w:val="24"/>
          <w:szCs w:val="24"/>
        </w:rPr>
        <w:t xml:space="preserve">Cost engineering IS product design.</w:t>
      </w:r>
      <w:r>
        <w:rPr>
          <w:rFonts w:ascii="Arial" w:cs="Arial" w:eastAsia="Arial" w:hAnsi="Arial"/>
          <w:sz w:val="24"/>
          <w:szCs w:val="24"/>
        </w:rPr>
        <w:t xml:space="preserve"> The three-tier model routing isn’t just about saving money—it defines the product experience for each user segment and creates a natural upgrade funnel from free to paid.</w:t>
      </w:r>
    </w:p>
    <w:p>
      <w:pPr>
        <w:spacing w:after="200"/>
      </w:pPr>
      <w:r>
        <w:rPr>
          <w:rFonts w:ascii="Arial" w:cs="Arial" w:eastAsia="Arial" w:hAnsi="Arial"/>
          <w:sz w:val="24"/>
          <w:szCs w:val="24"/>
        </w:rPr>
        <w:t xml:space="preserve"/>
      </w:r>
      <w:r>
        <w:rPr>
          <w:rFonts w:ascii="Arial" w:cs="Arial" w:eastAsia="Arial" w:hAnsi="Arial"/>
          <w:b/>
          <w:bCs/>
          <w:sz w:val="24"/>
          <w:szCs w:val="24"/>
        </w:rPr>
        <w:t xml:space="preserve">Build on standards, not hype.</w:t>
      </w:r>
      <w:r>
        <w:rPr>
          <w:rFonts w:ascii="Arial" w:cs="Arial" w:eastAsia="Arial" w:hAnsi="Arial"/>
          <w:sz w:val="24"/>
          <w:szCs w:val="24"/>
        </w:rPr>
        <w:t xml:space="preserve"> OpenClaw’s GTC moment was exciting. But the WhatsApp Business Cloud API, Meta’s Graph API, Stripe’s billing infrastructure, and OpenRouter’s gateway are battle-tested production systems. TutorClaw is built on these, with OpenClaw reserved for what it does best: prototyping and teaching.</w:t>
      </w:r>
    </w:p>
    <w:p>
      <w:pPr>
        <w:spacing w:after="200"/>
      </w:pPr>
      <w:r>
        <w:rPr>
          <w:rFonts w:ascii="Arial" w:cs="Arial" w:eastAsia="Arial" w:hAnsi="Arial"/>
          <w:sz w:val="24"/>
          <w:szCs w:val="24"/>
        </w:rPr>
        <w:t xml:space="preserve">TutorClaw itself is the Agent Factory thesis made manifest: a Digital FTE that generates revenue by teaching. The Factory produces the FTE, OpenRouter gives it a brain, Stripe gives it a wallet, and WhatsApp gives it a voice. That is the Agent Factory in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TutorClaw Architecture Paper | Panaversity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2026-03-18T02:54:21.937Z</dcterms:created>
  <dcterms:modified xsi:type="dcterms:W3CDTF">2026-03-18T02:54:21.938Z</dcterms:modified>
</cp:coreProperties>
</file>

<file path=docProps/custom.xml><?xml version="1.0" encoding="utf-8"?>
<Properties xmlns="http://schemas.openxmlformats.org/officeDocument/2006/custom-properties" xmlns:vt="http://schemas.openxmlformats.org/officeDocument/2006/docPropsVTypes"/>
</file>