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color w:val="888888"/>
          <w:sz w:val="28"/>
          <w:szCs w:val="28"/>
        </w:rPr>
        <w:t xml:space="preserve">The AI Agent Factory — Part 5: Building the Agent Factory</w:t>
      </w:r>
    </w:p>
    <w:p>
      <w:pPr>
        <w:spacing w:after="100"/>
      </w:pPr>
    </w:p>
    <w:p>
      <w:pPr>
        <w:spacing w:after="200"/>
        <w:jc w:val="center"/>
      </w:pPr>
      <w:r>
        <w:rPr>
          <w:rFonts w:ascii="Arial" w:cs="Arial" w:eastAsia="Arial" w:hAnsi="Arial"/>
          <w:b/>
          <w:bCs/>
          <w:color w:val="1B3A5C"/>
          <w:sz w:val="72"/>
          <w:szCs w:val="72"/>
        </w:rPr>
        <w:t xml:space="preserve">The Economics Stack</w:t>
      </w:r>
    </w:p>
    <w:p>
      <w:pPr>
        <w:spacing w:after="200"/>
        <w:jc w:val="center"/>
      </w:pPr>
      <w:r>
        <w:rPr>
          <w:rFonts w:ascii="Arial" w:cs="Arial" w:eastAsia="Arial" w:hAnsi="Arial"/>
          <w:color w:val="444444"/>
          <w:sz w:val="36"/>
          <w:szCs w:val="36"/>
        </w:rPr>
        <w:t xml:space="preserve">How to Build a Profitable AI Product</w:t>
      </w:r>
    </w:p>
    <w:p>
      <w:pPr>
        <w:spacing w:after="100"/>
        <w:jc w:val="center"/>
      </w:pPr>
      <w:r>
        <w:rPr>
          <w:rFonts w:ascii="Arial" w:cs="Arial" w:eastAsia="Arial" w:hAnsi="Arial"/>
          <w:color w:val="2E75B6"/>
          <w:sz w:val="28"/>
          <w:szCs w:val="28"/>
        </w:rPr>
        <w:t xml:space="preserve">NanoClaw-Native Edition</w:t>
      </w:r>
    </w:p>
    <w:p>
      <w:pPr>
        <w:spacing w:after="100"/>
      </w:pPr>
    </w:p>
    <w:p>
      <w:pPr>
        <w:spacing w:after="100"/>
      </w:pPr>
    </w:p>
    <w:p>
      <w:pPr>
        <w:spacing w:after="100"/>
      </w:pPr>
    </w:p>
    <w:p>
      <w:pPr>
        <w:spacing w:after="100"/>
        <w:jc w:val="center"/>
      </w:pPr>
      <w:r>
        <w:rPr>
          <w:rFonts w:ascii="Arial" w:cs="Arial" w:eastAsia="Arial" w:hAnsi="Arial"/>
          <w:b/>
          <w:bCs/>
          <w:sz w:val="28"/>
          <w:szCs w:val="28"/>
        </w:rPr>
        <w:t xml:space="preserve">Zia Khan</w:t>
      </w:r>
    </w:p>
    <w:p>
      <w:pPr>
        <w:spacing w:after="100"/>
        <w:jc w:val="center"/>
      </w:pPr>
      <w:r>
        <w:rPr>
          <w:rFonts w:ascii="Arial" w:cs="Arial" w:eastAsia="Arial" w:hAnsi="Arial"/>
          <w:color w:val="2E75B6"/>
          <w:sz w:val="24"/>
          <w:szCs w:val="24"/>
        </w:rPr>
        <w:t xml:space="preserve">agentfactory.panaversity.org</w:t>
      </w:r>
    </w:p>
    <w:p>
      <w:r>
        <w:br w:type="page"/>
      </w:r>
    </w:p>
    <w:p>
      <w:pPr>
        <w:pStyle w:val="Heading1"/>
      </w:pPr>
      <w:r>
        <w:rPr>
          <w:rFonts w:ascii="Arial" w:cs="Arial" w:eastAsia="Arial" w:hAnsi="Arial"/>
        </w:rPr>
        <w:t xml:space="preserve">Chapter Introduction</w:t>
      </w:r>
    </w:p>
    <w:p>
      <w:pPr>
        <w:spacing w:after="200"/>
      </w:pPr>
      <w:r>
        <w:rPr>
          <w:rFonts w:ascii="Arial" w:cs="Arial" w:eastAsia="Arial" w:hAnsi="Arial"/>
          <w:i/>
          <w:iCs/>
          <w:sz w:val="24"/>
          <w:szCs w:val="24"/>
        </w:rPr>
        <w:t xml:space="preserve">“Every carpenter can now be an architect. Every plumber will become an architect. We are going to elevate the capabilities of everyone.” — Jensen Huang, GTC 2026</w:t>
      </w:r>
    </w:p>
    <w:p>
      <w:pPr>
        <w:spacing w:after="100"/>
      </w:pPr>
    </w:p>
    <w:p>
      <w:pPr>
        <w:spacing w:after="200"/>
      </w:pPr>
      <w:r>
        <w:rPr>
          <w:rFonts w:ascii="Arial" w:cs="Arial" w:eastAsia="Arial" w:hAnsi="Arial"/>
          <w:sz w:val="24"/>
          <w:szCs w:val="24"/>
        </w:rPr>
        <w:t xml:space="preserve">Building an AI agent is the easy part. Making it profitable is where most projects die.</w:t>
      </w:r>
    </w:p>
    <w:p>
      <w:pPr>
        <w:spacing w:after="200"/>
      </w:pPr>
      <w:r>
        <w:rPr>
          <w:rFonts w:ascii="Arial" w:cs="Arial" w:eastAsia="Arial" w:hAnsi="Arial"/>
          <w:sz w:val="24"/>
          <w:szCs w:val="24"/>
        </w:rPr>
        <w:t xml:space="preserve">Throughout this book, we have built Digital FTEs—autonomous AI agents that do real work. We have given them bodies (NanoClaw containers), brains (Claude Agent SDK with multi-model routing via Claude Code Router), and skills (PRIMM-AI+ pedagogical framework). But a Digital FTE that costs more to run than the value it creates is not a product—it is a science experiment.</w:t>
      </w:r>
    </w:p>
    <w:p>
      <w:pPr>
        <w:spacing w:after="200"/>
      </w:pPr>
      <w:r>
        <w:rPr>
          <w:rFonts w:ascii="Arial" w:cs="Arial" w:eastAsia="Arial" w:hAnsi="Arial"/>
          <w:sz w:val="24"/>
          <w:szCs w:val="24"/>
        </w:rPr>
        <w:t xml:space="preserve">This chapter teaches you the Economics Stack: the set of tools, patterns, and decisions that turn an AI agent from a cost center into a profit center. We will use TutorClaw as our running example, with its NanoClaw-native container-per-learner architecture, but the patterns apply to any AI product you build.</w:t>
      </w:r>
    </w:p>
    <w:p>
      <w:pPr>
        <w:pStyle w:val="Heading1"/>
      </w:pPr>
      <w:r>
        <w:rPr>
          <w:rFonts w:ascii="Arial" w:cs="Arial" w:eastAsia="Arial" w:hAnsi="Arial"/>
        </w:rPr>
        <w:t xml:space="preserve">1. The 90/10 Rule: Where Your Money Actually Goes</w:t>
      </w:r>
    </w:p>
    <w:p>
      <w:pPr>
        <w:spacing w:after="200"/>
      </w:pPr>
      <w:r>
        <w:rPr>
          <w:rFonts w:ascii="Arial" w:cs="Arial" w:eastAsia="Arial" w:hAnsi="Arial"/>
          <w:sz w:val="24"/>
          <w:szCs w:val="24"/>
        </w:rPr>
        <w:t xml:space="preserve">Before examining any individual cost component, you must internalize the single most important economic fact about AI products in 2026:</w:t>
      </w:r>
    </w:p>
    <w:p>
      <w:pPr>
        <w:spacing w:after="200"/>
      </w:pPr>
      <w:r>
        <w:rPr>
          <w:rFonts w:ascii="Arial" w:cs="Arial" w:eastAsia="Arial" w:hAnsi="Arial"/>
          <w:sz w:val="24"/>
          <w:szCs w:val="24"/>
        </w:rPr>
        <w:t xml:space="preserve"/>
      </w:r>
      <w:r>
        <w:rPr>
          <w:rFonts w:ascii="Arial" w:cs="Arial" w:eastAsia="Arial" w:hAnsi="Arial"/>
          <w:b/>
          <w:bCs/>
          <w:sz w:val="24"/>
          <w:szCs w:val="24"/>
        </w:rPr>
        <w:t xml:space="preserve">LLM token costs are 90% of your total operating cost. Infrastructure is 10%.</w:t>
      </w:r>
      <w:r>
        <w:rPr>
          <w:rFonts w:ascii="Arial" w:cs="Arial" w:eastAsia="Arial" w:hAnsi="Arial"/>
          <w:sz w:val="24"/>
          <w:szCs w:val="24"/>
        </w:rPr>
        <w:t xml:space="preserve"/>
      </w:r>
    </w:p>
    <w:p>
      <w:pPr>
        <w:spacing w:after="200"/>
      </w:pPr>
      <w:r>
        <w:rPr>
          <w:rFonts w:ascii="Arial" w:cs="Arial" w:eastAsia="Arial" w:hAnsi="Arial"/>
          <w:sz w:val="24"/>
          <w:szCs w:val="24"/>
        </w:rPr>
        <w:t xml:space="preserve">When we modeled TutorClaw at 16,000 learners across four different infrastructure options—from the simplest (Cloud Run at $200/month) to the most sophisticated (Fly.io Sprites at $1,600/month)—the total monthly cost ranged from $12,200 to $13,600. The LLM cost was $12,000 in every scenario. The infrastructure difference ($1,400) represented only 11% of the total.</w:t>
      </w:r>
    </w:p>
    <w:p>
      <w:pPr>
        <w:spacing w:after="200"/>
      </w:pPr>
      <w:r>
        <w:rPr>
          <w:rFonts w:ascii="Arial" w:cs="Arial" w:eastAsia="Arial" w:hAnsi="Arial"/>
          <w:sz w:val="24"/>
          <w:szCs w:val="24"/>
        </w:rPr>
        <w:t xml:space="preserve">This has a profound implication for product design: </w:t>
      </w:r>
      <w:r>
        <w:rPr>
          <w:rFonts w:ascii="Arial" w:cs="Arial" w:eastAsia="Arial" w:hAnsi="Arial"/>
          <w:b/>
          <w:bCs/>
          <w:sz w:val="24"/>
          <w:szCs w:val="24"/>
        </w:rPr>
        <w:t xml:space="preserve">your model routing strategy matters 10x more than your infrastructure choice.</w:t>
      </w:r>
      <w:r>
        <w:rPr>
          <w:rFonts w:ascii="Arial" w:cs="Arial" w:eastAsia="Arial" w:hAnsi="Arial"/>
          <w:sz w:val="24"/>
          <w:szCs w:val="24"/>
        </w:rPr>
        <w:t xml:space="preserve"> Optimizing the free tier from Claude Sonnet to DeepSeek saves $2,000/day. Choosing Fly.io over Cloud Run costs only $1,400/month. One optimization is about model intelligence; the other is about container lifecycle. The economics are clear about which deserves your engineering attention.</w:t>
      </w:r>
    </w:p>
    <w:p>
      <w:pPr>
        <w:pStyle w:val="Heading1"/>
      </w:pPr>
      <w:r>
        <w:rPr>
          <w:rFonts w:ascii="Arial" w:cs="Arial" w:eastAsia="Arial" w:hAnsi="Arial"/>
        </w:rPr>
        <w:t xml:space="preserve">2. The LLM Pricing Landscape</w:t>
      </w:r>
    </w:p>
    <w:p>
      <w:pPr>
        <w:spacing w:after="200"/>
      </w:pPr>
      <w:r>
        <w:rPr>
          <w:rFonts w:ascii="Arial" w:cs="Arial" w:eastAsia="Arial" w:hAnsi="Arial"/>
          <w:sz w:val="24"/>
          <w:szCs w:val="24"/>
        </w:rPr>
        <w:t xml:space="preserve">Not all intelligence costs the same. The pricing gap between frontier and commodity models as of March 2026: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Input/1M tokens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Output/1M tokens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GPT-5.4 mini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V3.2 (cache miss)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 Nano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V3.2 (cache hit)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Near-free</w:t>
            </w:r>
          </w:p>
        </w:tc>
      </w:tr>
    </w:tbl>
    <w:p>
      <w:pPr>
        <w:spacing w:after="100"/>
      </w:pPr>
    </w:p>
    <w:p>
      <w:pPr>
        <w:spacing w:after="200"/>
      </w:pPr>
      <w:r>
        <w:rPr>
          <w:rFonts w:ascii="Arial" w:cs="Arial" w:eastAsia="Arial" w:hAnsi="Arial"/>
          <w:sz w:val="24"/>
          <w:szCs w:val="24"/>
        </w:rPr>
        <w:t xml:space="preserve">Claude Sonnet output costs $15/M tokens. GPT-5 Nano output costs $0.40/M tokens. That is a </w:t>
      </w:r>
      <w:r>
        <w:rPr>
          <w:rFonts w:ascii="Arial" w:cs="Arial" w:eastAsia="Arial" w:hAnsi="Arial"/>
          <w:b/>
          <w:bCs/>
          <w:sz w:val="24"/>
          <w:szCs w:val="24"/>
        </w:rPr>
        <w:t xml:space="preserve">37x difference.</w:t>
      </w:r>
      <w:r>
        <w:rPr>
          <w:rFonts w:ascii="Arial" w:cs="Arial" w:eastAsia="Arial" w:hAnsi="Arial"/>
          <w:sz w:val="24"/>
          <w:szCs w:val="24"/>
        </w:rPr>
        <w:t xml:space="preserve"> DeepSeek V3.2 with cache hits is even cheaper. The model you choose is not just a technical decision—it is a business model decision.</w:t>
      </w:r>
    </w:p>
    <w:p>
      <w:pPr>
        <w:pStyle w:val="Heading2"/>
      </w:pPr>
      <w:r>
        <w:rPr>
          <w:rFonts w:ascii="Arial" w:cs="Arial" w:eastAsia="Arial" w:hAnsi="Arial"/>
        </w:rPr>
        <w:t xml:space="preserve">2.1 Cost Per Accepted Output</w:t>
      </w:r>
    </w:p>
    <w:p>
      <w:pPr>
        <w:spacing w:after="200"/>
      </w:pPr>
      <w:r>
        <w:rPr>
          <w:rFonts w:ascii="Arial" w:cs="Arial" w:eastAsia="Arial" w:hAnsi="Arial"/>
          <w:sz w:val="24"/>
          <w:szCs w:val="24"/>
        </w:rPr>
        <w:t xml:space="preserve">The naive metric is cost per token. The correct metric is:</w:t>
      </w:r>
    </w:p>
    <w:p>
      <w:pPr>
        <w:spacing w:after="200"/>
      </w:pPr>
      <w:r>
        <w:rPr>
          <w:rFonts w:ascii="Arial" w:cs="Arial" w:eastAsia="Arial" w:hAnsi="Arial"/>
          <w:sz w:val="24"/>
          <w:szCs w:val="24"/>
        </w:rPr>
        <w:t xml:space="preserve"/>
      </w:r>
      <w:r>
        <w:rPr>
          <w:rFonts w:ascii="Arial" w:cs="Arial" w:eastAsia="Arial" w:hAnsi="Arial"/>
          <w:b/>
          <w:bCs/>
          <w:sz w:val="24"/>
          <w:szCs w:val="24"/>
        </w:rPr>
        <w:t xml:space="preserve">Cost Per Accepted Output = (Token Cost + Human Correction Cost + QA Cost) / Accepted Outputs</w:t>
      </w:r>
      <w:r>
        <w:rPr>
          <w:rFonts w:ascii="Arial" w:cs="Arial" w:eastAsia="Arial" w:hAnsi="Arial"/>
          <w:sz w:val="24"/>
          <w:szCs w:val="24"/>
        </w:rPr>
        <w:t xml:space="preserve"/>
      </w:r>
    </w:p>
    <w:p>
      <w:pPr>
        <w:spacing w:after="200"/>
      </w:pPr>
      <w:r>
        <w:rPr>
          <w:rFonts w:ascii="Arial" w:cs="Arial" w:eastAsia="Arial" w:hAnsi="Arial"/>
          <w:sz w:val="24"/>
          <w:szCs w:val="24"/>
        </w:rPr>
        <w:t xml:space="preserve">A $0.40/M-token model that produces wrong answers 40% of the time is more expensive than a $15/M-token model that gets it right on the first try. For TutorClaw, a wrong pedagogical response does not just cost tokens—it teaches the learner incorrectly. Nano-class models will NOT faithfully follow the nine-enhancement PRIMM-AI+ system prompt. They approximate; they do not execute. The lesson: match model capability to task criticality, not just task volume.</w:t>
      </w:r>
    </w:p>
    <w:p>
      <w:pPr>
        <w:pStyle w:val="Heading1"/>
      </w:pPr>
      <w:r>
        <w:rPr>
          <w:rFonts w:ascii="Arial" w:cs="Arial" w:eastAsia="Arial" w:hAnsi="Arial"/>
        </w:rPr>
        <w:t xml:space="preserve">3. Claude Code Router: The Multi-Model Shim for NanoClaw</w:t>
      </w:r>
    </w:p>
    <w:p>
      <w:pPr>
        <w:spacing w:after="200"/>
      </w:pPr>
      <w:r>
        <w:rPr>
          <w:rFonts w:ascii="Arial" w:cs="Arial" w:eastAsia="Arial" w:hAnsi="Arial"/>
          <w:sz w:val="24"/>
          <w:szCs w:val="24"/>
        </w:rPr>
        <w:t xml:space="preserve">NanoClaw’s Claude-only limitation would make every learner cost $0.10–$0.20/day on Claude. At 16,000 learners, that’s $48,000–$96,000/month. Claude Code Router solves this without modifying NanoClaw’s source code.</w:t>
      </w:r>
    </w:p>
    <w:p>
      <w:pPr>
        <w:spacing w:after="200"/>
      </w:pPr>
      <w:r>
        <w:rPr>
          <w:rFonts w:ascii="Arial" w:cs="Arial" w:eastAsia="Arial" w:hAnsi="Arial"/>
          <w:sz w:val="24"/>
          <w:szCs w:val="24"/>
        </w:rPr>
        <w:t xml:space="preserve">Claude Code Router (27,800+ GitHub stars, MIT licensed) is a local proxy that intercepts Claude Agent SDK API calls and routes them to any provider. It supports OpenRouter, DeepSeek, Ollama, Gemini, and custom providers via a transformer/plugin system. The Router’s “activate” command sets ANTHROPIC_BASE_URL to the local proxy, making all Claude Agent SDK calls flow through it transparently.</w:t>
      </w:r>
    </w:p>
    <w:p>
      <w:pPr>
        <w:spacing w:after="200"/>
      </w:pPr>
      <w:r>
        <w:rPr>
          <w:rFonts w:ascii="Arial" w:cs="Arial" w:eastAsia="Arial" w:hAnsi="Arial"/>
          <w:sz w:val="24"/>
          <w:szCs w:val="24"/>
        </w:rPr>
        <w:t xml:space="preserve">For TutorClaw, a custom router script implements tier-aware routing:</w:t>
      </w:r>
    </w:p>
    <w:p>
      <w:pPr>
        <w:shd w:fill="F5F5F5" w:val="clear"/>
        <w:spacing w:after="80"/>
      </w:pPr>
      <w:r>
        <w:rPr>
          <w:rFonts w:ascii="Arial" w:cs="Arial" w:eastAsia="Arial" w:hAnsi="Arial"/>
          <w:sz w:val="20"/>
          <w:szCs w:val="20"/>
        </w:rPr>
        <w:t xml:space="preserve">// tutorclaw-router.js</w:t>
      </w:r>
    </w:p>
    <w:p>
      <w:pPr>
        <w:shd w:fill="F5F5F5" w:val="clear"/>
        <w:spacing w:after="80"/>
      </w:pPr>
      <w:r>
        <w:rPr>
          <w:rFonts w:ascii="Arial" w:cs="Arial" w:eastAsia="Arial" w:hAnsi="Arial"/>
          <w:sz w:val="20"/>
          <w:szCs w:val="20"/>
        </w:rPr>
        <w:t xml:space="preserve">module.exports = async function router(req, config) {</w:t>
      </w:r>
    </w:p>
    <w:p>
      <w:pPr>
        <w:shd w:fill="F5F5F5" w:val="clear"/>
        <w:spacing w:after="80"/>
      </w:pPr>
      <w:r>
        <w:rPr>
          <w:rFonts w:ascii="Arial" w:cs="Arial" w:eastAsia="Arial" w:hAnsi="Arial"/>
          <w:sz w:val="20"/>
          <w:szCs w:val="20"/>
        </w:rPr>
        <w:t xml:space="preserve">  const tier = req.headers['x-tutorclaw-tier'] || 'free';</w:t>
      </w:r>
    </w:p>
    <w:p>
      <w:pPr>
        <w:shd w:fill="F5F5F5" w:val="clear"/>
        <w:spacing w:after="80"/>
      </w:pPr>
      <w:r>
        <w:rPr>
          <w:rFonts w:ascii="Arial" w:cs="Arial" w:eastAsia="Arial" w:hAnsi="Arial"/>
          <w:sz w:val="20"/>
          <w:szCs w:val="20"/>
        </w:rPr>
        <w:t xml:space="preserve">  if (tier === 'premium')</w:t>
      </w:r>
    </w:p>
    <w:p>
      <w:pPr>
        <w:shd w:fill="F5F5F5" w:val="clear"/>
        <w:spacing w:after="80"/>
      </w:pPr>
      <w:r>
        <w:rPr>
          <w:rFonts w:ascii="Arial" w:cs="Arial" w:eastAsia="Arial" w:hAnsi="Arial"/>
          <w:sz w:val="20"/>
          <w:szCs w:val="20"/>
        </w:rPr>
        <w:t xml:space="preserve">    return 'openrouter,anthropic/claude-sonnet-4.5';</w:t>
      </w:r>
    </w:p>
    <w:p>
      <w:pPr>
        <w:shd w:fill="F5F5F5" w:val="clear"/>
        <w:spacing w:after="80"/>
      </w:pPr>
      <w:r>
        <w:rPr>
          <w:rFonts w:ascii="Arial" w:cs="Arial" w:eastAsia="Arial" w:hAnsi="Arial"/>
          <w:sz w:val="20"/>
          <w:szCs w:val="20"/>
        </w:rPr>
        <w:t xml:space="preserve">  if (tier === 'paid')</w:t>
      </w:r>
    </w:p>
    <w:p>
      <w:pPr>
        <w:shd w:fill="F5F5F5" w:val="clear"/>
        <w:spacing w:after="80"/>
      </w:pPr>
      <w:r>
        <w:rPr>
          <w:rFonts w:ascii="Arial" w:cs="Arial" w:eastAsia="Arial" w:hAnsi="Arial"/>
          <w:sz w:val="20"/>
          <w:szCs w:val="20"/>
        </w:rPr>
        <w:t xml:space="preserve">    return 'openrouter,openai/gpt-5.4-mini';</w:t>
      </w:r>
    </w:p>
    <w:p>
      <w:pPr>
        <w:shd w:fill="F5F5F5" w:val="clear"/>
        <w:spacing w:after="80"/>
      </w:pPr>
      <w:r>
        <w:rPr>
          <w:rFonts w:ascii="Arial" w:cs="Arial" w:eastAsia="Arial" w:hAnsi="Arial"/>
          <w:sz w:val="20"/>
          <w:szCs w:val="20"/>
        </w:rPr>
        <w:t xml:space="preserve">  return 'openrouter,deepseek/deepseek-chat'; // free tier</w:t>
      </w:r>
    </w:p>
    <w:p>
      <w:pPr>
        <w:shd w:fill="F5F5F5" w:val="clear"/>
        <w:spacing w:after="80"/>
      </w:pPr>
      <w:r>
        <w:rPr>
          <w:rFonts w:ascii="Arial" w:cs="Arial" w:eastAsia="Arial" w:hAnsi="Arial"/>
          <w:sz w:val="20"/>
          <w:szCs w:val="20"/>
        </w:rPr>
        <w:t xml:space="preserve">};</w:t>
      </w:r>
    </w:p>
    <w:p>
      <w:pPr>
        <w:spacing w:after="100"/>
      </w:pPr>
    </w:p>
    <w:p>
      <w:pPr>
        <w:spacing w:after="200"/>
      </w:pPr>
      <w:r>
        <w:rPr>
          <w:rFonts w:ascii="Arial" w:cs="Arial" w:eastAsia="Arial" w:hAnsi="Arial"/>
          <w:sz w:val="24"/>
          <w:szCs w:val="24"/>
        </w:rPr>
        <w:t xml:space="preserve">The Orchestrator sets the x-tutorclaw-tier header based on the learner’s Stripe subscription. Each NanoClaw container runs Claude Code Router as a sidecar or environment config. The container thinks it is talking to Claude; the Router decides the actual destination.</w:t>
      </w:r>
    </w:p>
    <w:p>
      <w:pPr>
        <w:pStyle w:val="Heading1"/>
      </w:pPr>
      <w:r>
        <w:rPr>
          <w:rFonts w:ascii="Arial" w:cs="Arial" w:eastAsia="Arial" w:hAnsi="Arial"/>
        </w:rPr>
        <w:t xml:space="preserve">4. OpenRouter: The Unified LLM Gateway</w:t>
      </w:r>
    </w:p>
    <w:p>
      <w:pPr>
        <w:spacing w:after="200"/>
      </w:pPr>
      <w:r>
        <w:rPr>
          <w:rFonts w:ascii="Arial" w:cs="Arial" w:eastAsia="Arial" w:hAnsi="Arial"/>
          <w:sz w:val="24"/>
          <w:szCs w:val="24"/>
        </w:rPr>
        <w:t xml:space="preserve">OpenRouter provides access to 290+ models from every major provider through a single, OpenAI-compatible API. Model switching is a parameter change, not a code change. OpenRouter does not mark up provider pricing (the ~5.5% fee is on credit purchases). When routing/fallback is enabled, billing applies only to successful runs—if Claude is down, OpenRouter falls back to another model and you pay nothing for the failed attempt.</w:t>
      </w:r>
    </w:p>
    <w:p>
      <w:pPr>
        <w:spacing w:after="200"/>
      </w:pPr>
      <w:r>
        <w:rPr>
          <w:rFonts w:ascii="Arial" w:cs="Arial" w:eastAsia="Arial" w:hAnsi="Arial"/>
          <w:sz w:val="24"/>
          <w:szCs w:val="24"/>
        </w:rPr>
        <w:t xml:space="preserve">In the NanoClaw-native architecture, OpenRouter sits behind Claude Code Router. The routing chain is: NanoClaw → Claude Agent SDK call → Claude Code Router (selects model based on tier) → OpenRouter (routes to provider, handles fallback) → Anthropic / OpenAI / DeepSeek.</w:t>
      </w:r>
    </w:p>
    <w:p>
      <w:pPr>
        <w:spacing w:after="200"/>
      </w:pPr>
      <w:r>
        <w:rPr>
          <w:rFonts w:ascii="Arial" w:cs="Arial" w:eastAsia="Arial" w:hAnsi="Arial"/>
          <w:sz w:val="24"/>
          <w:szCs w:val="24"/>
        </w:rPr>
        <w:t xml:space="preserve">This eliminates from your engineering scope: multi-provider API integration, provider failover logic, and model price monitoring. You manage one OpenRouter credit balance covering all providers.</w:t>
      </w:r>
    </w:p>
    <w:p>
      <w:pPr>
        <w:pStyle w:val="Heading1"/>
      </w:pPr>
      <w:r>
        <w:rPr>
          <w:rFonts w:ascii="Arial" w:cs="Arial" w:eastAsia="Arial" w:hAnsi="Arial"/>
        </w:rPr>
        <w:t xml:space="preserve">5. Tiered Model Routing: The Three-Tier TutorClaw Model</w:t>
      </w:r>
    </w:p>
    <w:p>
      <w:pPr>
        <w:spacing w:after="200"/>
      </w:pPr>
      <w:r>
        <w:rPr>
          <w:rFonts w:ascii="Arial" w:cs="Arial" w:eastAsia="Arial" w:hAnsi="Arial"/>
          <w:sz w:val="24"/>
          <w:szCs w:val="24"/>
        </w:rPr>
        <w:t xml:space="preserve">Not every user interaction requires frontier intelligence. A learner asking “what chapter am I on?” does not need Claude Opus. A learner struggling with async/await needs Socratic scaffolding from a model that can follow complex pedagogical instructions.</w:t>
      </w:r>
    </w:p>
    <w:p>
      <w:pPr>
        <w:spacing w:after="10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1800"/>
        <w:gridCol w:w="1600"/>
        <w:gridCol w:w="15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(PKR/mo)</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Pedagogy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Cost/Learner/Day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 Nano fallback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PRIMM-Lite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$0.005–$0.01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(~$1.75)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GPT-5.4 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(10–15%)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PRIMM-AI+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$0.04–$0.06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(~$10.50)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Opus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PRIMM-AI+ + Personalized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$0.12–$0.20</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The quality trap:</w:t>
      </w:r>
      <w:r>
        <w:rPr>
          <w:rFonts w:ascii="Arial" w:cs="Arial" w:eastAsia="Arial" w:hAnsi="Arial"/>
          <w:sz w:val="24"/>
          <w:szCs w:val="24"/>
        </w:rPr>
        <w:t xml:space="preserve"> For free-tier learners, TutorClaw uses PRIMM-Lite (three-stage subset: Predict → Run → brief Investigate) rather than forcing the full nine-enhancement framework onto a weak model. This is a product design decision, not a compromise. Free-tier users get a genuinely useful learning experience. The full experience is the upgrade incentive.</w:t>
      </w:r>
    </w:p>
    <w:p>
      <w:pPr>
        <w:spacing w:after="200"/>
      </w:pPr>
      <w:r>
        <w:rPr>
          <w:rFonts w:ascii="Arial" w:cs="Arial" w:eastAsia="Arial" w:hAnsi="Arial"/>
          <w:sz w:val="24"/>
          <w:szCs w:val="24"/>
        </w:rPr>
        <w:t xml:space="preserve"/>
      </w:r>
      <w:r>
        <w:rPr>
          <w:rFonts w:ascii="Arial" w:cs="Arial" w:eastAsia="Arial" w:hAnsi="Arial"/>
          <w:b/>
          <w:bCs/>
          <w:sz w:val="24"/>
          <w:szCs w:val="24"/>
        </w:rPr>
        <w:t xml:space="preserve">Router logic combines five signals:</w:t>
      </w:r>
      <w:r>
        <w:rPr>
          <w:rFonts w:ascii="Arial" w:cs="Arial" w:eastAsia="Arial" w:hAnsi="Arial"/>
          <w:sz w:val="24"/>
          <w:szCs w:val="24"/>
        </w:rPr>
        <w:t xml:space="preserve"> learner tier (from Stripe), message complexity, PRIMM stage (Predict/Run = simple, Investigate/Modify = complex), learner confidence score (&lt; 2 triggers escalation), and chapter difficulty level.</w:t>
      </w:r>
    </w:p>
    <w:p>
      <w:pPr>
        <w:pStyle w:val="Heading1"/>
      </w:pPr>
      <w:r>
        <w:rPr>
          <w:rFonts w:ascii="Arial" w:cs="Arial" w:eastAsia="Arial" w:hAnsi="Arial"/>
        </w:rPr>
        <w:t xml:space="preserve">6. Stripe Token Billing: Automated Margin-Positive Billing</w:t>
      </w:r>
    </w:p>
    <w:p>
      <w:pPr>
        <w:spacing w:after="200"/>
      </w:pPr>
      <w:r>
        <w:rPr>
          <w:rFonts w:ascii="Arial" w:cs="Arial" w:eastAsia="Arial" w:hAnsi="Arial"/>
          <w:sz w:val="24"/>
          <w:szCs w:val="24"/>
        </w:rPr>
        <w:t xml:space="preserve">Stripe’s Token Billing feature (announced March 2026) solves the hardest problem in AI monetization: your costs are variable, but customers expect predictable pricing.</w:t>
      </w:r>
    </w:p>
    <w:p>
      <w:pPr>
        <w:spacing w:after="200"/>
      </w:pPr>
      <w:r>
        <w:rPr>
          <w:rFonts w:ascii="Arial" w:cs="Arial" w:eastAsia="Arial" w:hAnsi="Arial"/>
          <w:sz w:val="24"/>
          <w:szCs w:val="24"/>
        </w:rPr>
        <w:t xml:space="preserve">Stripe syncs the latest model prices across providers, configures usage-based billing for your specified margin (e.g., 40%), records usage automatically through its LLM proxy or supported partners (including OpenRouter), and generates invoices that include the base subscription plus usage-based overage charges. If a provider changes prices, Stripe updates automatically and notifies you.</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billing flow:</w:t>
      </w:r>
      <w:r>
        <w:rPr>
          <w:rFonts w:ascii="Arial" w:cs="Arial" w:eastAsia="Arial" w:hAnsi="Arial"/>
          <w:sz w:val="24"/>
          <w:szCs w:val="24"/>
        </w:rPr>
        <w:t xml:space="preserve"> At onboarding, Stripe Checkout creates a Customer + Subscription linked to the learner’s WhatsApp number. At every interaction, OpenRouter reports token usage to Stripe, which attributes it to the Customer ID and applies the markup. At billing period end, Stripe generates the invoice.</w:t>
      </w:r>
    </w:p>
    <w:p>
      <w:pPr>
        <w:spacing w:after="200"/>
      </w:pPr>
      <w:r>
        <w:rPr>
          <w:rFonts w:ascii="Arial" w:cs="Arial" w:eastAsia="Arial" w:hAnsi="Arial"/>
          <w:sz w:val="24"/>
          <w:szCs w:val="24"/>
        </w:rPr>
        <w:t xml:space="preserve"/>
      </w:r>
      <w:r>
        <w:rPr>
          <w:rFonts w:ascii="Arial" w:cs="Arial" w:eastAsia="Arial" w:hAnsi="Arial"/>
          <w:b/>
          <w:bCs/>
          <w:sz w:val="24"/>
          <w:szCs w:val="24"/>
        </w:rPr>
        <w:t xml:space="preserve">Recommended pricing for Pakistan:</w:t>
      </w:r>
      <w:r>
        <w:rPr>
          <w:rFonts w:ascii="Arial" w:cs="Arial" w:eastAsia="Arial" w:hAnsi="Arial"/>
          <w:sz w:val="24"/>
          <w:szCs w:val="24"/>
        </w:rPr>
        <w:t xml:space="preserve"> Flat subscription for retail learners (simplicity wins in emerging markets). Subscription + overage for corporate clients (finance teams demand usage transparency). Pure usage-based for enterprise training (pay only for what employees use).</w:t>
      </w:r>
    </w:p>
    <w:p>
      <w:pPr>
        <w:pStyle w:val="Heading1"/>
      </w:pPr>
      <w:r>
        <w:rPr>
          <w:rFonts w:ascii="Arial" w:cs="Arial" w:eastAsia="Arial" w:hAnsi="Arial"/>
        </w:rPr>
        <w:t xml:space="preserve">7. Infrastructure Economics: Four Paths Compared</w:t>
      </w:r>
    </w:p>
    <w:p>
      <w:pPr>
        <w:spacing w:after="200"/>
      </w:pPr>
      <w:r>
        <w:rPr>
          <w:rFonts w:ascii="Arial" w:cs="Arial" w:eastAsia="Arial" w:hAnsi="Arial"/>
          <w:sz w:val="24"/>
          <w:szCs w:val="24"/>
        </w:rPr>
        <w:t xml:space="preserve">The NanoClaw-native architecture requires managing container lifecycle for 16,000 learners. Four infrastructure options were evaluated, each with different cost profiles: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300"/>
        <w:gridCol w:w="1600"/>
        <w:gridCol w:w="1200"/>
        <w:gridCol w:w="1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Resume Latency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 Quality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Lock-in</w:t>
            </w:r>
          </w:p>
        </w:tc>
        <w:tc>
          <w:tcPr>
            <w:tcW w:type="dxa" w:w="1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Run + PostgreSQL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 sec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(DB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Fly.io Sprites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$1,400–1,600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(filesystem)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Fly.io</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 + Pod Snapshots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$575–700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(memory+FS)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CRIU on any K8s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sec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(memory+FS)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Key insight: infrastructure cost ($200–$1,600/month) is noise compared to LLM cost ($12,000/month).</w:t>
      </w:r>
      <w:r>
        <w:rPr>
          <w:rFonts w:ascii="Arial" w:cs="Arial" w:eastAsia="Arial" w:hAnsi="Arial"/>
          <w:sz w:val="24"/>
          <w:szCs w:val="24"/>
        </w:rPr>
        <w:t xml:space="preserve"> Choose infrastructure for product quality—how fast the agent resumes, how complete the state preservation is, how reliable the experience feels—because that drives conversion from free to paid, which drives revenue.</w:t>
      </w:r>
    </w:p>
    <w:p>
      <w:pPr>
        <w:spacing w:after="200"/>
      </w:pPr>
      <w:r>
        <w:rPr>
          <w:rFonts w:ascii="Arial" w:cs="Arial" w:eastAsia="Arial" w:hAnsi="Arial"/>
          <w:sz w:val="24"/>
          <w:szCs w:val="24"/>
        </w:rPr>
        <w:t xml:space="preserve"/>
      </w:r>
      <w:r>
        <w:rPr>
          <w:rFonts w:ascii="Arial" w:cs="Arial" w:eastAsia="Arial" w:hAnsi="Arial"/>
          <w:b/>
          <w:bCs/>
          <w:sz w:val="24"/>
          <w:szCs w:val="24"/>
        </w:rPr>
        <w:t xml:space="preserve">GKE Pod Snapshots</w:t>
      </w:r>
      <w:r>
        <w:rPr>
          <w:rFonts w:ascii="Arial" w:cs="Arial" w:eastAsia="Arial" w:hAnsi="Arial"/>
          <w:sz w:val="24"/>
          <w:szCs w:val="24"/>
        </w:rPr>
        <w:t xml:space="preserve"> are the primary tool for managing container state. They store an exact copy of a pod’s process state (memory, filesystem, context) to Cloud Storage. When a learner goes inactive, their pod is snapshotted and terminated (cost: ~$0.02/GB/month storage). When they return, the pod is restored in seconds, resuming exactly where it left off. Idle learners cost zero compute.</w:t>
      </w:r>
    </w:p>
    <w:p>
      <w:pPr>
        <w:spacing w:after="200"/>
      </w:pPr>
      <w:r>
        <w:rPr>
          <w:rFonts w:ascii="Arial" w:cs="Arial" w:eastAsia="Arial" w:hAnsi="Arial"/>
          <w:sz w:val="24"/>
          <w:szCs w:val="24"/>
        </w:rPr>
        <w:t xml:space="preserve"/>
      </w:r>
      <w:r>
        <w:rPr>
          <w:rFonts w:ascii="Arial" w:cs="Arial" w:eastAsia="Arial" w:hAnsi="Arial"/>
          <w:b/>
          <w:bCs/>
          <w:sz w:val="24"/>
          <w:szCs w:val="24"/>
        </w:rPr>
        <w:t xml:space="preserve">Fly.io Sprites</w:t>
      </w:r>
      <w:r>
        <w:rPr>
          <w:rFonts w:ascii="Arial" w:cs="Arial" w:eastAsia="Arial" w:hAnsi="Arial"/>
          <w:sz w:val="24"/>
          <w:szCs w:val="24"/>
        </w:rPr>
        <w:t xml:space="preserve"> are the simplest alternative: persistent VMs that idle automatically with state preserved at ~300ms resume. No Kubernetes required. </w:t>
      </w:r>
      <w:r>
        <w:rPr>
          <w:rFonts w:ascii="Arial" w:cs="Arial" w:eastAsia="Arial" w:hAnsi="Arial"/>
          <w:b/>
          <w:bCs/>
          <w:sz w:val="24"/>
          <w:szCs w:val="24"/>
        </w:rPr>
        <w:t xml:space="preserve">CRIU on any Kubernetes</w:t>
      </w:r>
      <w:r>
        <w:rPr>
          <w:rFonts w:ascii="Arial" w:cs="Arial" w:eastAsia="Arial" w:hAnsi="Arial"/>
          <w:sz w:val="24"/>
          <w:szCs w:val="24"/>
        </w:rPr>
        <w:t xml:space="preserve"> is the long-term portable answer, currently maturing through the Kubernetes Checkpoint/Restore Working Group. </w:t>
      </w:r>
      <w:r>
        <w:rPr>
          <w:rFonts w:ascii="Arial" w:cs="Arial" w:eastAsia="Arial" w:hAnsi="Arial"/>
          <w:b/>
          <w:bCs/>
          <w:sz w:val="24"/>
          <w:szCs w:val="24"/>
        </w:rPr>
        <w:t xml:space="preserve">External State Store</w:t>
      </w:r>
      <w:r>
        <w:rPr>
          <w:rFonts w:ascii="Arial" w:cs="Arial" w:eastAsia="Arial" w:hAnsi="Arial"/>
          <w:sz w:val="24"/>
          <w:szCs w:val="24"/>
        </w:rPr>
        <w:t xml:space="preserve"> (PostgreSQL) is the universal fallback that works everywhere but loses in-process state.</w:t>
      </w:r>
    </w:p>
    <w:p>
      <w:pPr>
        <w:spacing w:after="200"/>
      </w:pPr>
      <w:r>
        <w:rPr>
          <w:rFonts w:ascii="Arial" w:cs="Arial" w:eastAsia="Arial" w:hAnsi="Arial"/>
          <w:sz w:val="24"/>
          <w:szCs w:val="24"/>
        </w:rPr>
        <w:t xml:space="preserve">The recommended progression: start with Cloud Run (ship fast), move to Fly.io Sprites (improve experience), scale to GKE with Pod Snapshots (enterprise control), and build toward CRIU portability (long-term).</w:t>
      </w:r>
    </w:p>
    <w:p>
      <w:pPr>
        <w:pStyle w:val="Heading1"/>
      </w:pPr>
      <w:r>
        <w:rPr>
          <w:rFonts w:ascii="Arial" w:cs="Arial" w:eastAsia="Arial" w:hAnsi="Arial"/>
        </w:rPr>
        <w:t xml:space="preserve">8. Unit Economics at Scale</w:t>
      </w:r>
    </w:p>
    <w:p>
      <w:pPr>
        <w:spacing w:after="200"/>
      </w:pPr>
      <w:r>
        <w:rPr>
          <w:rFonts w:ascii="Arial" w:cs="Arial" w:eastAsia="Arial" w:hAnsi="Arial"/>
          <w:sz w:val="24"/>
          <w:szCs w:val="24"/>
        </w:rPr>
        <w:t xml:space="preserve">Modeling 16,000 learners with conservative conversion assumptions (75% free, 19% paid, 6% premium):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Learners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LLM Cost/Day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Revenue/Month</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LLM Cost/Month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(PKR 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(PKR 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$11,880</w:t>
            </w:r>
          </w:p>
        </w:tc>
      </w:tr>
    </w:tbl>
    <w:p>
      <w:pPr>
        <w:spacing w:after="100"/>
      </w:pPr>
    </w:p>
    <w:p>
      <w:pPr>
        <w:spacing w:after="200"/>
      </w:pPr>
      <w:r>
        <w:rPr>
          <w:rFonts w:ascii="Arial" w:cs="Arial" w:eastAsia="Arial" w:hAnsi="Arial"/>
          <w:sz w:val="24"/>
          <w:szCs w:val="24"/>
        </w:rPr>
        <w:t xml:space="preserve">Monthly LLM cost: ~$11,880. Infrastructure (Phase 2, Fly.io): ~$1,500. Stripe/OpenRouter fees: ~$500. </w:t>
      </w:r>
      <w:r>
        <w:rPr>
          <w:rFonts w:ascii="Arial" w:cs="Arial" w:eastAsia="Arial" w:hAnsi="Arial"/>
          <w:b/>
          <w:bCs/>
          <w:sz w:val="24"/>
          <w:szCs w:val="24"/>
        </w:rPr>
        <w:t xml:space="preserve">Total operating cost: ~$13,880.</w:t>
      </w:r>
      <w:r>
        <w:rPr>
          <w:rFonts w:ascii="Arial" w:cs="Arial" w:eastAsia="Arial" w:hAnsi="Arial"/>
          <w:sz w:val="24"/>
          <w:szCs w:val="24"/>
        </w:rPr>
        <w:t xml:space="preserve"> Monthly revenue: $15,750. </w:t>
      </w:r>
      <w:r>
        <w:rPr>
          <w:rFonts w:ascii="Arial" w:cs="Arial" w:eastAsia="Arial" w:hAnsi="Arial"/>
          <w:b/>
          <w:bCs/>
          <w:sz w:val="24"/>
          <w:szCs w:val="24"/>
        </w:rPr>
        <w:t xml:space="preserve">Gross margin: ~$1,870/month (12%).</w:t>
      </w:r>
      <w:r>
        <w:rPr>
          <w:rFonts w:ascii="Arial" w:cs="Arial" w:eastAsia="Arial" w:hAnsi="Arial"/>
          <w:sz w:val="24"/>
          <w:szCs w:val="24"/>
        </w:rPr>
        <w:t xml:space="preserve"> Tight but viable—and improves as paid/premium conversion increases.</w:t>
      </w:r>
    </w:p>
    <w:p>
      <w:pPr>
        <w:spacing w:after="200"/>
      </w:pPr>
      <w:r>
        <w:rPr>
          <w:rFonts w:ascii="Arial" w:cs="Arial" w:eastAsia="Arial" w:hAnsi="Arial"/>
          <w:sz w:val="24"/>
          <w:szCs w:val="24"/>
        </w:rPr>
        <w:t xml:space="preserve">The free tier’s $2,880/month LLM cost is the customer acquisition cost. At $5,250/month from 3,000 paid conversions, you need only a 3.6% free-to-paid conversion rate to break even on the free tier. At 10%, the free tier generates $1,750/month of net contribution.</w:t>
      </w:r>
    </w:p>
    <w:p>
      <w:pPr>
        <w:pStyle w:val="Heading1"/>
      </w:pPr>
      <w:r>
        <w:rPr>
          <w:rFonts w:ascii="Arial" w:cs="Arial" w:eastAsia="Arial" w:hAnsi="Arial"/>
        </w:rPr>
        <w:t xml:space="preserve">9. Agents as Economic Actors: The Thesis in Practice</w:t>
      </w:r>
    </w:p>
    <w:p>
      <w:pPr>
        <w:spacing w:after="200"/>
      </w:pPr>
      <w:r>
        <w:rPr>
          <w:rFonts w:ascii="Arial" w:cs="Arial" w:eastAsia="Arial" w:hAnsi="Arial"/>
          <w:sz w:val="24"/>
          <w:szCs w:val="24"/>
        </w:rPr>
        <w:t xml:space="preserve">TutorClaw is the Agent Factory thesis made manifest. Each concept maps to real economics:</w:t>
      </w:r>
    </w:p>
    <w:p>
      <w:pPr>
        <w:spacing w:after="200"/>
      </w:pPr>
      <w:r>
        <w:rPr>
          <w:rFonts w:ascii="Arial" w:cs="Arial" w:eastAsia="Arial" w:hAnsi="Arial"/>
          <w:sz w:val="24"/>
          <w:szCs w:val="24"/>
        </w:rPr>
        <w:t xml:space="preserve"/>
      </w:r>
      <w:r>
        <w:rPr>
          <w:rFonts w:ascii="Arial" w:cs="Arial" w:eastAsia="Arial" w:hAnsi="Arial"/>
          <w:b/>
          <w:bCs/>
          <w:sz w:val="24"/>
          <w:szCs w:val="24"/>
        </w:rPr>
        <w:t xml:space="preserve">Digital FTE.</w:t>
      </w:r>
      <w:r>
        <w:rPr>
          <w:rFonts w:ascii="Arial" w:cs="Arial" w:eastAsia="Arial" w:hAnsi="Arial"/>
          <w:sz w:val="24"/>
          <w:szCs w:val="24"/>
        </w:rPr>
        <w:t xml:space="preserve"> TutorClaw does the work of dozens of human tutors at ~$14,000/month—a fraction of one qualified instructor’s salary (PKR 80,000–150,000/month for 30 students). The economics improve at scale; humans do not.</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Factory Layer.</w:t>
      </w:r>
      <w:r>
        <w:rPr>
          <w:rFonts w:ascii="Arial" w:cs="Arial" w:eastAsia="Arial" w:hAnsi="Arial"/>
          <w:sz w:val="24"/>
          <w:szCs w:val="24"/>
        </w:rPr>
        <w:t xml:space="preserve"> NanoClaw (container runtime) + Claude Code Router (model gateway) + Stripe (billing) + Kubernetes (orchestration) = the Factory. No single component is the product; the product emerges from their composition.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Edge Layer.</w:t>
      </w:r>
      <w:r>
        <w:rPr>
          <w:rFonts w:ascii="Arial" w:cs="Arial" w:eastAsia="Arial" w:hAnsi="Arial"/>
          <w:sz w:val="24"/>
          <w:szCs w:val="24"/>
        </w:rPr>
        <w:t xml:space="preserve"> Each learner’s NanoClaw container—their personalized context, chapter position, confidence scores, conversation history—is the Edge. Intelligence is centralized (Claude/DeepSeek via OpenRouter); personalization is at the edge (per-learner state in each container).</w:t>
      </w:r>
    </w:p>
    <w:p>
      <w:pPr>
        <w:spacing w:after="200"/>
      </w:pPr>
      <w:r>
        <w:rPr>
          <w:rFonts w:ascii="Arial" w:cs="Arial" w:eastAsia="Arial" w:hAnsi="Arial"/>
          <w:sz w:val="24"/>
          <w:szCs w:val="24"/>
        </w:rPr>
        <w:t xml:space="preserve"/>
      </w:r>
      <w:r>
        <w:rPr>
          <w:rFonts w:ascii="Arial" w:cs="Arial" w:eastAsia="Arial" w:hAnsi="Arial"/>
          <w:b/>
          <w:bCs/>
          <w:sz w:val="24"/>
          <w:szCs w:val="24"/>
        </w:rPr>
        <w:t xml:space="preserve">From one container to a thousand.</w:t>
      </w:r>
      <w:r>
        <w:rPr>
          <w:rFonts w:ascii="Arial" w:cs="Arial" w:eastAsia="Arial" w:hAnsi="Arial"/>
          <w:sz w:val="24"/>
          <w:szCs w:val="24"/>
        </w:rPr>
        <w:t xml:space="preserve"> A PIAIC student builds their personal TutorClaw on a laptop (one NanoClaw container). The same container image, with the same skills and the same PRIMM-AI+ framework, runs in a GKE cluster serving thousands. The gap between learning project and production platform is orchestration, not architecture. That is the Agent Factory’s deepest lesson.</w:t>
      </w:r>
    </w:p>
    <w:p>
      <w:pPr>
        <w:pStyle w:val="Heading1"/>
      </w:pPr>
      <w:r>
        <w:rPr>
          <w:rFonts w:ascii="Arial" w:cs="Arial" w:eastAsia="Arial" w:hAnsi="Arial"/>
        </w:rPr>
        <w:t xml:space="preserve">10. Exercises and Reflection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1: Build a Claude Code Router Config.</w:t>
      </w:r>
      <w:r>
        <w:rPr>
          <w:rFonts w:ascii="Arial" w:cs="Arial" w:eastAsia="Arial" w:hAnsi="Arial"/>
          <w:sz w:val="24"/>
          <w:szCs w:val="24"/>
        </w:rPr>
        <w:t xml:space="preserve"> Create a config.json for Claude Code Router that routes to three providers via OpenRouter: DeepSeek for default, GPT-5.4 mini for “think” mode, and Claude Sonnet for long context. Test by running ccr code and switching between models with /model.</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2: Custom Router Script.</w:t>
      </w:r>
      <w:r>
        <w:rPr>
          <w:rFonts w:ascii="Arial" w:cs="Arial" w:eastAsia="Arial" w:hAnsi="Arial"/>
          <w:sz w:val="24"/>
          <w:szCs w:val="24"/>
        </w:rPr>
        <w:t xml:space="preserve"> Write a tutorclaw-router.js that reads an x-tier header and routes to different models. Test with curl requests simulating free, paid, and premium learners. Measure latency overhead of the routing layer.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3: Unit Economics Calculator.</w:t>
      </w:r>
      <w:r>
        <w:rPr>
          <w:rFonts w:ascii="Arial" w:cs="Arial" w:eastAsia="Arial" w:hAnsi="Arial"/>
          <w:sz w:val="24"/>
          <w:szCs w:val="24"/>
        </w:rPr>
        <w:t xml:space="preserve"> Build a Python script that takes as input: number of learners per tier, average exchanges per day, average tokens per exchange, model pricing per tier, and subscription price per tier. Output: monthly LLM cost, monthly revenue, gross margin, and break-even conversion rate for the free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4: Infrastructure Cost Comparison.</w:t>
      </w:r>
      <w:r>
        <w:rPr>
          <w:rFonts w:ascii="Arial" w:cs="Arial" w:eastAsia="Arial" w:hAnsi="Arial"/>
          <w:sz w:val="24"/>
          <w:szCs w:val="24"/>
        </w:rPr>
        <w:t xml:space="preserve"> Using the Fly.io pricing calculator, GKE pricing calculator, and AWS pricing calculator, estimate the monthly infrastructure cost for running 1,000 concurrent NanoClaw containers on each platform. Which is cheapest? Which has the best resume latency? Document your findings.</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5: Stripe Integration.</w:t>
      </w:r>
      <w:r>
        <w:rPr>
          <w:rFonts w:ascii="Arial" w:cs="Arial" w:eastAsia="Arial" w:hAnsi="Arial"/>
          <w:sz w:val="24"/>
          <w:szCs w:val="24"/>
        </w:rPr>
        <w:t xml:space="preserve"> Using Stripe’s test mode, create a subscription product with three tiers matching TutorClaw’s pricing. Implement a webhook that records mock token usage against a customer. Calculate the invoice amount with a 40% markup.</w:t>
      </w:r>
    </w:p>
    <w:p>
      <w:pPr>
        <w:spacing w:after="200"/>
      </w:pPr>
      <w:r>
        <w:rPr>
          <w:rFonts w:ascii="Arial" w:cs="Arial" w:eastAsia="Arial" w:hAnsi="Arial"/>
          <w:sz w:val="24"/>
          <w:szCs w:val="24"/>
        </w:rPr>
        <w:t xml:space="preserve"/>
      </w:r>
      <w:r>
        <w:rPr>
          <w:rFonts w:ascii="Arial" w:cs="Arial" w:eastAsia="Arial" w:hAnsi="Arial"/>
          <w:b/>
          <w:bCs/>
          <w:sz w:val="24"/>
          <w:szCs w:val="24"/>
        </w:rPr>
        <w:t xml:space="preserve">Reflection: The Free Tier Dilemma.</w:t>
      </w:r>
      <w:r>
        <w:rPr>
          <w:rFonts w:ascii="Arial" w:cs="Arial" w:eastAsia="Arial" w:hAnsi="Arial"/>
          <w:sz w:val="24"/>
          <w:szCs w:val="24"/>
        </w:rPr>
        <w:t xml:space="preserve"> TutorClaw’s free tier costs ~$2,880/month for 12,000 users. Is this justified? What conversion rate makes it worthwhile? At what learner count should you cap or remove the free tier? What happens to the book’s mission (“making AI development accessible”) if you eliminate free access? There is no single right answer—but your reasoning must balance business viability with educational mission.</w:t>
      </w:r>
    </w:p>
    <w:p>
      <w:pPr>
        <w:pStyle w:val="Heading1"/>
      </w:pPr>
      <w:r>
        <w:rPr>
          <w:rFonts w:ascii="Arial" w:cs="Arial" w:eastAsia="Arial" w:hAnsi="Arial"/>
        </w:rPr>
        <w:t xml:space="preserve">11. Chapter Summary</w:t>
      </w:r>
    </w:p>
    <w:p>
      <w:pPr>
        <w:spacing w:after="200"/>
      </w:pPr>
      <w:r>
        <w:rPr>
          <w:rFonts w:ascii="Arial" w:cs="Arial" w:eastAsia="Arial" w:hAnsi="Arial"/>
          <w:sz w:val="24"/>
          <w:szCs w:val="24"/>
        </w:rPr>
        <w:t xml:space="preserve">The Economics Stack is the layer that turns an AI agent from a cost center into a profit center. For the NanoClaw-native TutorClaw architecture, it consists of:</w:t>
      </w:r>
    </w:p>
    <w:p>
      <w:pPr>
        <w:spacing w:after="200"/>
      </w:pPr>
      <w:r>
        <w:rPr>
          <w:rFonts w:ascii="Arial" w:cs="Arial" w:eastAsia="Arial" w:hAnsi="Arial"/>
          <w:sz w:val="24"/>
          <w:szCs w:val="24"/>
        </w:rPr>
        <w:t xml:space="preserve"/>
      </w:r>
      <w:r>
        <w:rPr>
          <w:rFonts w:ascii="Arial" w:cs="Arial" w:eastAsia="Arial" w:hAnsi="Arial"/>
          <w:b/>
          <w:bCs/>
          <w:sz w:val="24"/>
          <w:szCs w:val="24"/>
        </w:rPr>
        <w:t xml:space="preserve">Claude Code Router</w:t>
      </w:r>
      <w:r>
        <w:rPr>
          <w:rFonts w:ascii="Arial" w:cs="Arial" w:eastAsia="Arial" w:hAnsi="Arial"/>
          <w:sz w:val="24"/>
          <w:szCs w:val="24"/>
        </w:rPr>
        <w:t xml:space="preserve"> as the model-routing shim—intercepting Claude Agent SDK calls and routing to any provider based on learner tier, message complexity, and pedagogical stage, without modifying NanoClaw’s source code.</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OpenRouter</w:t>
      </w:r>
      <w:r>
        <w:rPr>
          <w:rFonts w:ascii="Arial" w:cs="Arial" w:eastAsia="Arial" w:hAnsi="Arial"/>
          <w:sz w:val="24"/>
          <w:szCs w:val="24"/>
        </w:rPr>
        <w:t xml:space="preserve"> as the unified LLM gateway—providing access to 290+ models, automatic fallback, and consolidated billing through a single API endpoint.</w:t>
      </w:r>
    </w:p>
    <w:p>
      <w:pPr>
        <w:spacing w:after="200"/>
      </w:pPr>
      <w:r>
        <w:rPr>
          <w:rFonts w:ascii="Arial" w:cs="Arial" w:eastAsia="Arial" w:hAnsi="Arial"/>
          <w:sz w:val="24"/>
          <w:szCs w:val="24"/>
        </w:rPr>
        <w:t xml:space="preserve"/>
      </w:r>
      <w:r>
        <w:rPr>
          <w:rFonts w:ascii="Arial" w:cs="Arial" w:eastAsia="Arial" w:hAnsi="Arial"/>
          <w:b/>
          <w:bCs/>
          <w:sz w:val="24"/>
          <w:szCs w:val="24"/>
        </w:rPr>
        <w:t xml:space="preserve">Tiered model routing</w:t>
      </w:r>
      <w:r>
        <w:rPr>
          <w:rFonts w:ascii="Arial" w:cs="Arial" w:eastAsia="Arial" w:hAnsi="Arial"/>
          <w:sz w:val="24"/>
          <w:szCs w:val="24"/>
        </w:rPr>
        <w:t xml:space="preserve"> as the cost-optimization pattern—matching model capability to task value, using PRIMM-Lite for free-tier models and full PRIMM-AI+ for premium-tier models capable of following it.</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Stripe Token Billing</w:t>
      </w:r>
      <w:r>
        <w:rPr>
          <w:rFonts w:ascii="Arial" w:cs="Arial" w:eastAsia="Arial" w:hAnsi="Arial"/>
          <w:sz w:val="24"/>
          <w:szCs w:val="24"/>
        </w:rPr>
        <w:t xml:space="preserve"> as the monetization layer—automatically syncing model prices, tracking usage per learner, applying margins, and generating invoices.</w:t>
      </w:r>
    </w:p>
    <w:p>
      <w:pPr>
        <w:spacing w:after="200"/>
      </w:pPr>
      <w:r>
        <w:rPr>
          <w:rFonts w:ascii="Arial" w:cs="Arial" w:eastAsia="Arial" w:hAnsi="Arial"/>
          <w:sz w:val="24"/>
          <w:szCs w:val="24"/>
        </w:rPr>
        <w:t xml:space="preserve"/>
      </w:r>
      <w:r>
        <w:rPr>
          <w:rFonts w:ascii="Arial" w:cs="Arial" w:eastAsia="Arial" w:hAnsi="Arial"/>
          <w:b/>
          <w:bCs/>
          <w:sz w:val="24"/>
          <w:szCs w:val="24"/>
        </w:rPr>
        <w:t xml:space="preserve">Infrastructure economics</w:t>
      </w:r>
      <w:r>
        <w:rPr>
          <w:rFonts w:ascii="Arial" w:cs="Arial" w:eastAsia="Arial" w:hAnsi="Arial"/>
          <w:sz w:val="24"/>
          <w:szCs w:val="24"/>
        </w:rPr>
        <w:t xml:space="preserve"> driven by the 90/10 rule: LLM costs dominate. Choose infrastructure (Cloud Run, Fly.io Sprites, GKE Pod Snapshots, or CRIU) for product quality (resume latency, state preservation), not for cost savings.</w:t>
      </w:r>
    </w:p>
    <w:p>
      <w:pPr>
        <w:spacing w:after="200"/>
      </w:pPr>
      <w:r>
        <w:rPr>
          <w:rFonts w:ascii="Arial" w:cs="Arial" w:eastAsia="Arial" w:hAnsi="Arial"/>
          <w:sz w:val="24"/>
          <w:szCs w:val="24"/>
        </w:rPr>
        <w:t xml:space="preserve">The overarching lesson: </w:t>
      </w:r>
      <w:r>
        <w:rPr>
          <w:rFonts w:ascii="Arial" w:cs="Arial" w:eastAsia="Arial" w:hAnsi="Arial"/>
          <w:b/>
          <w:bCs/>
          <w:sz w:val="24"/>
          <w:szCs w:val="24"/>
        </w:rPr>
        <w:t xml:space="preserve">build on commodities, compete on intelligence.</w:t>
      </w:r>
      <w:r>
        <w:rPr>
          <w:rFonts w:ascii="Arial" w:cs="Arial" w:eastAsia="Arial" w:hAnsi="Arial"/>
          <w:sz w:val="24"/>
          <w:szCs w:val="24"/>
        </w:rPr>
        <w:t xml:space="preserve"> NanoClaw, OpenRouter, Stripe, Kubernetes—these are available to everyone. Your competitive moat is the PHPM/PRIMM-AI+ framework, the Verification Ladder, the Error Taxonomy, and the 30-chapter curriculum encoded in your system prompts. The economics stack supports the intelligence. The intelligence creates the value.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Agent Factory | The Economics Stack (NanoClaw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2026-03-18T04:02:46.692Z</dcterms:created>
  <dcterms:modified xsi:type="dcterms:W3CDTF">2026-03-18T04:02:46.693Z</dcterms:modified>
</cp:coreProperties>
</file>

<file path=docProps/custom.xml><?xml version="1.0" encoding="utf-8"?>
<Properties xmlns="http://schemas.openxmlformats.org/officeDocument/2006/custom-properties" xmlns:vt="http://schemas.openxmlformats.org/officeDocument/2006/docPropsVTypes"/>
</file>