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72"/>
          <w:szCs w:val="72"/>
        </w:rPr>
        <w:t xml:space="preserve">TutorClaw</w:t>
      </w:r>
    </w:p>
    <w:p>
      <w:pPr>
        <w:spacing w:after="100"/>
        <w:jc w:val="center"/>
      </w:pPr>
      <w:r>
        <w:rPr>
          <w:rFonts w:ascii="Arial" w:cs="Arial" w:eastAsia="Arial" w:hAnsi="Arial"/>
          <w:color w:val="444444"/>
          <w:sz w:val="36"/>
          <w:szCs w:val="36"/>
        </w:rPr>
        <w:t xml:space="preserve">NanoClaw-Native Architecture</w:t>
      </w:r>
    </w:p>
    <w:p>
      <w:pPr>
        <w:spacing w:after="100"/>
        <w:jc w:val="center"/>
      </w:pPr>
      <w:r>
        <w:rPr>
          <w:rFonts w:ascii="Arial" w:cs="Arial" w:eastAsia="Arial" w:hAnsi="Arial"/>
          <w:color w:val="666666"/>
          <w:sz w:val="28"/>
          <w:szCs w:val="28"/>
        </w:rPr>
        <w:t xml:space="preserve">A 24/7 AI Personal Teacher at Scale</w:t>
      </w:r>
    </w:p>
    <w:p>
      <w:pPr>
        <w:spacing w:after="100"/>
      </w:pPr>
    </w:p>
    <w:p>
      <w:pPr>
        <w:spacing w:after="100"/>
      </w:pPr>
    </w:p>
    <w:p>
      <w:pPr>
        <w:spacing w:after="100"/>
        <w:jc w:val="center"/>
      </w:pPr>
      <w:r>
        <w:rPr>
          <w:rFonts w:ascii="Arial" w:cs="Arial" w:eastAsia="Arial" w:hAnsi="Arial"/>
          <w:i/>
          <w:iCs/>
          <w:color w:val="666666"/>
          <w:sz w:val="28"/>
          <w:szCs w:val="28"/>
        </w:rPr>
        <w:t xml:space="preserve">A Technical Decision Paper — Version 2</w:t>
      </w:r>
    </w:p>
    <w:p>
      <w:pPr>
        <w:spacing w:after="100"/>
        <w:jc w:val="center"/>
      </w:pPr>
      <w:r>
        <w:rPr>
          <w:rFonts w:ascii="Arial" w:cs="Arial" w:eastAsia="Arial" w:hAnsi="Arial"/>
          <w:color w:val="888888"/>
          <w:sz w:val="24"/>
          <w:szCs w:val="24"/>
        </w:rPr>
        <w:t xml:space="preserve">Documenting the Full Deliberative Journey</w:t>
      </w:r>
    </w:p>
    <w:p>
      <w:pPr>
        <w:spacing w:after="100"/>
      </w:pPr>
    </w:p>
    <w:p>
      <w:pPr>
        <w:spacing w:after="100"/>
      </w:pPr>
    </w:p>
    <w:p>
      <w:pPr>
        <w:spacing w:after="100"/>
      </w:pPr>
    </w:p>
    <w:p>
      <w:pPr>
        <w:spacing w:after="100"/>
        <w:jc w:val="center"/>
      </w:pPr>
      <w:r>
        <w:rPr>
          <w:rFonts w:ascii="Arial" w:cs="Arial" w:eastAsia="Arial" w:hAnsi="Arial"/>
          <w:b/>
          <w:bCs/>
          <w:sz w:val="28"/>
          <w:szCs w:val="28"/>
        </w:rPr>
        <w:t xml:space="preserve">Zia Khan</w:t>
      </w:r>
    </w:p>
    <w:p>
      <w:pPr>
        <w:spacing w:after="100"/>
        <w:jc w:val="center"/>
      </w:pPr>
      <w:r>
        <w:rPr>
          <w:rFonts w:ascii="Arial" w:cs="Arial" w:eastAsia="Arial" w:hAnsi="Arial"/>
          <w:color w:val="666666"/>
          <w:sz w:val="24"/>
          <w:szCs w:val="24"/>
        </w:rPr>
        <w:t xml:space="preserve">CEO, Panaversity | COO, PIAIC</w:t>
      </w:r>
    </w:p>
    <w:p>
      <w:pPr>
        <w:spacing w:after="100"/>
        <w:jc w:val="center"/>
      </w:pPr>
      <w:r>
        <w:rPr>
          <w:rFonts w:ascii="Arial" w:cs="Arial" w:eastAsia="Arial" w:hAnsi="Arial"/>
          <w:color w:val="888888"/>
          <w:sz w:val="22"/>
          <w:szCs w:val="22"/>
        </w:rPr>
        <w:t xml:space="preserve">Companion to The AI Agent Factory — agentfactory.panaversity.org</w:t>
      </w:r>
    </w:p>
    <w:p>
      <w:pPr>
        <w:spacing w:after="100"/>
        <w:jc w:val="center"/>
      </w:pPr>
      <w:r>
        <w:rPr>
          <w:rFonts w:ascii="Arial" w:cs="Arial" w:eastAsia="Arial" w:hAnsi="Arial"/>
          <w:color w:val="888888"/>
          <w:sz w:val="24"/>
          <w:szCs w:val="24"/>
        </w:rPr>
        <w:t xml:space="preserve">March 2026</w:t>
      </w:r>
    </w:p>
    <w:p>
      <w:r>
        <w:br w:type="page"/>
      </w:r>
    </w:p>
    <w:p>
      <w:pPr>
        <w:pStyle w:val="Heading1"/>
      </w:pPr>
      <w:r>
        <w:rPr>
          <w:rFonts w:ascii="Arial" w:cs="Arial" w:eastAsia="Arial" w:hAnsi="Arial"/>
        </w:rPr>
        <w:t xml:space="preserve">Abstract</w:t>
      </w:r>
    </w:p>
    <w:p>
      <w:pPr>
        <w:spacing w:after="200"/>
      </w:pPr>
      <w:r>
        <w:rPr>
          <w:rFonts w:ascii="Arial" w:cs="Arial" w:eastAsia="Arial" w:hAnsi="Arial"/>
          <w:sz w:val="24"/>
          <w:szCs w:val="24"/>
        </w:rPr>
        <w:t xml:space="preserve">This paper documents the complete architectural decision-making process behind TutorClaw, a 24/7 AI personal teacher designed to serve 16,000+ learners via WhatsApp. Rather than presenting only final conclusions, this paper traces every pivot: from the initial excitement around OpenClaw at GTC 2026, through the evaluation of Agent SDKs, the discovery that OpenClaw cannot serve multi-tenant educational delivery, the design of a first architecture using WhatsApp Business Cloud API with direct LLM calls, and finally the pivot to a NanoClaw-native architecture that uses container-per-learner isolation, Claude Code Router for multi-model routing, and Kubernetes-native lifecycle management with GKE Pod Snapshots, Fly.io Sprites, or CRIU as alternatives. Each architectural pivot is documented with its rationale, enabling readers to understand not just what was decided, but why—and what was discarded along the way.</w:t>
      </w:r>
    </w:p>
    <w:p>
      <w:r>
        <w:br w:type="page"/>
      </w:r>
    </w:p>
    <w:p>
      <w:pPr>
        <w:pStyle w:val="Heading1"/>
      </w:pPr>
      <w:r>
        <w:rPr>
          <w:rFonts w:ascii="Arial" w:cs="Arial" w:eastAsia="Arial" w:hAnsi="Arial"/>
        </w:rPr>
        <w:t xml:space="preserve">1. Introduction: The Problem</w:t>
      </w:r>
    </w:p>
    <w:p>
      <w:pPr>
        <w:spacing w:after="200"/>
      </w:pPr>
      <w:r>
        <w:rPr>
          <w:rFonts w:ascii="Arial" w:cs="Arial" w:eastAsia="Arial" w:hAnsi="Arial"/>
          <w:sz w:val="24"/>
          <w:szCs w:val="24"/>
        </w:rPr>
        <w:t xml:space="preserve">The AI Agent Factory is an open-source technical book with a 30-chapter curriculum teaching AI-native development to beginners and professionals. Its pedagogical framework, PHPM/PRIMM-AI+, features a Verification Ladder, Error Taxonomy, confidence scoring, Parsons problems, and chapter-end rubrics. The curriculum serves 16,000+ learners across PIAIC (Presidential Initiative for Artificial Intelligence and Computing).</w:t>
      </w:r>
    </w:p>
    <w:p>
      <w:pPr>
        <w:spacing w:after="200"/>
      </w:pPr>
      <w:r>
        <w:rPr>
          <w:rFonts w:ascii="Arial" w:cs="Arial" w:eastAsia="Arial" w:hAnsi="Arial"/>
          <w:sz w:val="24"/>
          <w:szCs w:val="24"/>
        </w:rPr>
        <w:t xml:space="preserve">The core problem: how do you deliver personalized, adaptive, 24/7 tutoring at this scale? A human tutor is impossible. A static chatbot is inadequate. What is needed is a Digital FTE—an AI agent that operates as a tireless teaching assistant, available in the messaging app learners already use (WhatsApp), implementing the full pedagogical framework, and doing so at a cost that can be sustained or even monetized.</w:t>
      </w:r>
    </w:p>
    <w:p>
      <w:pPr>
        <w:spacing w:after="200"/>
      </w:pPr>
      <w:r>
        <w:rPr>
          <w:rFonts w:ascii="Arial" w:cs="Arial" w:eastAsia="Arial" w:hAnsi="Arial"/>
          <w:sz w:val="24"/>
          <w:szCs w:val="24"/>
        </w:rPr>
        <w:t xml:space="preserve">This paper documents four major architectural pivots, each driven by a specific discovery or constraint. The goal is not a polished specification but a teaching tool—showing how architectural decisions are made in the real world of AI product development.</w:t>
      </w:r>
    </w:p>
    <w:p>
      <w:pPr>
        <w:pStyle w:val="Heading1"/>
      </w:pPr>
      <w:r>
        <w:rPr>
          <w:rFonts w:ascii="Arial" w:cs="Arial" w:eastAsia="Arial" w:hAnsi="Arial"/>
        </w:rPr>
        <w:t xml:space="preserve">2. Pivot One: The OpenClaw Moment</w:t>
      </w:r>
    </w:p>
    <w:p>
      <w:pPr>
        <w:pStyle w:val="Heading2"/>
      </w:pPr>
      <w:r>
        <w:rPr>
          <w:rFonts w:ascii="Arial" w:cs="Arial" w:eastAsia="Arial" w:hAnsi="Arial"/>
        </w:rPr>
        <w:t xml:space="preserve">2.1 The GTC 2026 Catalyst</w:t>
      </w:r>
    </w:p>
    <w:p>
      <w:pPr>
        <w:spacing w:after="200"/>
      </w:pPr>
      <w:r>
        <w:rPr>
          <w:rFonts w:ascii="Arial" w:cs="Arial" w:eastAsia="Arial" w:hAnsi="Arial"/>
          <w:sz w:val="24"/>
          <w:szCs w:val="24"/>
        </w:rPr>
        <w:t xml:space="preserve">On March 16, 2026, NVIDIA CEO Jensen Huang declared OpenClaw “the most popular open-source project in the history of humanity” and announced NemoClaw, NVIDIA’s enterprise-grade version. OpenAI’s Sam Altman confirmed OpenClaw would live in an open-source foundation. Jensen compared OpenClaw to Windows for personal computing and Linux for servers, telling every CEO they need an “OpenClaw strategy.”</w:t>
      </w:r>
    </w:p>
    <w:p>
      <w:pPr>
        <w:spacing w:after="200"/>
      </w:pPr>
      <w:r>
        <w:rPr>
          <w:rFonts w:ascii="Arial" w:cs="Arial" w:eastAsia="Arial" w:hAnsi="Arial"/>
          <w:sz w:val="24"/>
          <w:szCs w:val="24"/>
        </w:rPr>
        <w:t xml:space="preserve">OpenClaw is a self-hosted, open-source autonomous AI agent running as a single Node.js process (the Gateway) that connects to messaging platforms (WhatsApp, Telegram, Slack) and routes messages through an LLM-powered agent runtime. It is model-agnostic, supports skills defined as Markdown files, and has a two-layer architecture: the Gateway (Body) handling routing and sessions, and the Agent Runtime (Brain) handling reasoning and execution.</w:t>
      </w:r>
    </w:p>
    <w:p>
      <w:pPr>
        <w:spacing w:after="200"/>
      </w:pPr>
      <w:r>
        <w:rPr>
          <w:rFonts w:ascii="Arial" w:cs="Arial" w:eastAsia="Arial" w:hAnsi="Arial"/>
          <w:sz w:val="24"/>
          <w:szCs w:val="24"/>
        </w:rPr>
        <w:t xml:space="preserve">The initial reasoning: OpenClaw’s Gateway maps directly to the NanoClaw Body+Brain pattern from the Agent Factory curriculum. Its Markdown-based skill system is identical to the book’s SKILL.md approach. The PRIMM-AI+ framework could theoretically be packaged as an OpenClaw skill. OpenClaw appeared to be the natural foundation for TutorClaw.</w:t>
      </w:r>
    </w:p>
    <w:p>
      <w:pPr>
        <w:pStyle w:val="Heading2"/>
      </w:pPr>
      <w:r>
        <w:rPr>
          <w:rFonts w:ascii="Arial" w:cs="Arial" w:eastAsia="Arial" w:hAnsi="Arial"/>
        </w:rPr>
        <w:t xml:space="preserve">2.2 The SDK Question</w:t>
      </w:r>
    </w:p>
    <w:p>
      <w:pPr>
        <w:spacing w:after="200"/>
      </w:pPr>
      <w:r>
        <w:rPr>
          <w:rFonts w:ascii="Arial" w:cs="Arial" w:eastAsia="Arial" w:hAnsi="Arial"/>
          <w:sz w:val="24"/>
          <w:szCs w:val="24"/>
        </w:rPr>
        <w:t xml:space="preserve">The first deliberative question: should TutorClaw use the Claude Agent SDK, the OpenAI Agents SDK, or OpenClaw’s native runtime as its Brain? This question exposed a common industry confusion between three distinct layers: the LLM (raw intelligence), the Agent Runtime (the agent loop), and the Agent SDK (a framework for building agent runtimes).</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Claude Agent SDK</w:t>
      </w:r>
      <w:r>
        <w:rPr>
          <w:rFonts w:ascii="Arial" w:cs="Arial" w:eastAsia="Arial" w:hAnsi="Arial"/>
          <w:sz w:val="24"/>
          <w:szCs w:val="24"/>
        </w:rPr>
        <w:t xml:space="preserve"> gives agents a full computer—built-in tools for reading files, running commands, and editing code. It is Claude-only and computer-centric. For TutorClaw, this was the wrong tool: a tutor needs pedagogical orchestration, not bash access.</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OpenAI Agents SDK</w:t>
      </w:r>
      <w:r>
        <w:rPr>
          <w:rFonts w:ascii="Arial" w:cs="Arial" w:eastAsia="Arial" w:hAnsi="Arial"/>
          <w:sz w:val="24"/>
          <w:szCs w:val="24"/>
        </w:rPr>
        <w:t xml:space="preserve"> is lightweight and model-agnostic (100+ LLMs), with multi-agent Handoffs, Guardrails, and Tracing. Its Handoffs mechanism could enable specialized sub-agents for PRIMM-AI+ stages. However, since OpenClaw already provides an agent runtime, the SDK would be redundant within OpenClaw.</w:t>
      </w:r>
    </w:p>
    <w:p>
      <w:pPr>
        <w:spacing w:after="200"/>
      </w:pPr>
      <w:r>
        <w:rPr>
          <w:rFonts w:ascii="Arial" w:cs="Arial" w:eastAsia="Arial" w:hAnsi="Arial"/>
          <w:sz w:val="24"/>
          <w:szCs w:val="24"/>
        </w:rPr>
        <w:t xml:space="preserve"/>
      </w:r>
      <w:r>
        <w:rPr>
          <w:rFonts w:ascii="Arial" w:cs="Arial" w:eastAsia="Arial" w:hAnsi="Arial"/>
          <w:b/>
          <w:bCs/>
          <w:sz w:val="24"/>
          <w:szCs w:val="24"/>
        </w:rPr>
        <w:t xml:space="preserve">Decision:</w:t>
      </w:r>
      <w:r>
        <w:rPr>
          <w:rFonts w:ascii="Arial" w:cs="Arial" w:eastAsia="Arial" w:hAnsi="Arial"/>
          <w:sz w:val="24"/>
          <w:szCs w:val="24"/>
        </w:rPr>
        <w:t xml:space="preserve"> Use OpenClaw’s native runtime with Claude as the primary model and custom Skills for the pedagogical framework. This was the simplest, cleanest architecture—no agent loop inside an agent loop.</w:t>
      </w:r>
    </w:p>
    <w:p>
      <w:pPr>
        <w:pStyle w:val="Heading1"/>
      </w:pPr>
      <w:r>
        <w:rPr>
          <w:rFonts w:ascii="Arial" w:cs="Arial" w:eastAsia="Arial" w:hAnsi="Arial"/>
        </w:rPr>
        <w:t xml:space="preserve">3. Pivot Two: The Scale Wall</w:t>
      </w:r>
    </w:p>
    <w:p>
      <w:pPr>
        <w:spacing w:after="200"/>
      </w:pPr>
      <w:r>
        <w:rPr>
          <w:rFonts w:ascii="Arial" w:cs="Arial" w:eastAsia="Arial" w:hAnsi="Arial"/>
          <w:sz w:val="24"/>
          <w:szCs w:val="24"/>
        </w:rPr>
        <w:t xml:space="preserve">The requirement was zero-friction onboarding: the book reader clicks a button, provides their WhatsApp number, and TutorClaw starts teaching. No installation. No QR code scanning. No setup.</w:t>
      </w:r>
    </w:p>
    <w:p>
      <w:pPr>
        <w:spacing w:after="200"/>
      </w:pPr>
      <w:r>
        <w:rPr>
          <w:rFonts w:ascii="Arial" w:cs="Arial" w:eastAsia="Arial" w:hAnsi="Arial"/>
          <w:sz w:val="24"/>
          <w:szCs w:val="24"/>
        </w:rPr>
        <w:t xml:space="preserve">This requirement destroyed the OpenClaw architecture. OpenClaw’s own security documentation states: “OpenClaw security guidance assumes a personal assistant deployment: one trusted operator boundary per gateway. It is not a hostile multi-tenant security boundary.” OpenClaw connects to WhatsApp via Baileys, a reverse-engineered protocol limited to 4 linked devices per phone number, with the phone required to stay online. For 16,000 learners? Architecturally impossible.</w:t>
      </w:r>
    </w:p>
    <w:p>
      <w:pPr>
        <w:spacing w:after="200"/>
      </w:pPr>
      <w:r>
        <w:rPr>
          <w:rFonts w:ascii="Arial" w:cs="Arial" w:eastAsia="Arial" w:hAnsi="Arial"/>
          <w:sz w:val="24"/>
          <w:szCs w:val="24"/>
        </w:rPr>
        <w:t xml:space="preserve">The multi-tenant “Agents Plane” feature exists only as a GitHub issue proposal, not shipping code.</w:t>
      </w:r>
    </w:p>
    <w:p>
      <w:pPr>
        <w:pStyle w:val="Heading2"/>
      </w:pPr>
      <w:r>
        <w:rPr>
          <w:rFonts w:ascii="Arial" w:cs="Arial" w:eastAsia="Arial" w:hAnsi="Arial"/>
        </w:rPr>
        <w:t xml:space="preserve">3.1 First Architecture: WhatsApp Cloud API + Custom Brain</w:t>
      </w:r>
    </w:p>
    <w:p>
      <w:pPr>
        <w:spacing w:after="200"/>
      </w:pPr>
      <w:r>
        <w:rPr>
          <w:rFonts w:ascii="Arial" w:cs="Arial" w:eastAsia="Arial" w:hAnsi="Arial"/>
          <w:sz w:val="24"/>
          <w:szCs w:val="24"/>
        </w:rPr>
        <w:t xml:space="preserve">The immediate solution: replace OpenClaw’s Gateway with Meta’s official WhatsApp Business Cloud API (500 messages/second, free service conversations when customer-initiated), build a custom Brain service that calls Claude’s Messages API directly with carefully crafted context, and manage learner state in PostgreSQL. Add OpenRouter as a unified LLM gateway for multi-model routing and Stripe Token Billing for monetization.</w:t>
      </w:r>
    </w:p>
    <w:p>
      <w:pPr>
        <w:spacing w:after="200"/>
      </w:pPr>
      <w:r>
        <w:rPr>
          <w:rFonts w:ascii="Arial" w:cs="Arial" w:eastAsia="Arial" w:hAnsi="Arial"/>
          <w:sz w:val="24"/>
          <w:szCs w:val="24"/>
        </w:rPr>
        <w:t xml:space="preserve">This architecture worked on paper. It solved the scale problem, supported tiered model routing (free tier on DeepSeek/GPT-5 Nano, paid on GPT-5.4 mini, premium on Claude Sonnet), and enabled automated margin-positive billing through Stripe. The estimated cost: ~$12,000/month for LLM at scale, ~$200–$300/month for infrastructure.</w:t>
      </w:r>
    </w:p>
    <w:p>
      <w:pPr>
        <w:spacing w:after="200"/>
      </w:pPr>
      <w:r>
        <w:rPr>
          <w:rFonts w:ascii="Arial" w:cs="Arial" w:eastAsia="Arial" w:hAnsi="Arial"/>
          <w:sz w:val="24"/>
          <w:szCs w:val="24"/>
        </w:rPr>
        <w:t xml:space="preserve">But it had a fundamental weakness: all 16,000 learners share a single application process. Learner isolation exists only in the application code (the session manager). If the code has a bug, data can leak between learners. There is no OS-level isolation. The security model is “hope the application is correct.”</w:t>
      </w:r>
    </w:p>
    <w:p>
      <w:pPr>
        <w:pStyle w:val="Heading1"/>
      </w:pPr>
      <w:r>
        <w:rPr>
          <w:rFonts w:ascii="Arial" w:cs="Arial" w:eastAsia="Arial" w:hAnsi="Arial"/>
        </w:rPr>
        <w:t xml:space="preserve">4. Pivot Three: The NanoClaw Insight</w:t>
      </w:r>
    </w:p>
    <w:p>
      <w:pPr>
        <w:pStyle w:val="Heading2"/>
      </w:pPr>
      <w:r>
        <w:rPr>
          <w:rFonts w:ascii="Arial" w:cs="Arial" w:eastAsia="Arial" w:hAnsi="Arial"/>
        </w:rPr>
        <w:t xml:space="preserve">4.1 What NanoClaw Is</w:t>
      </w:r>
    </w:p>
    <w:p>
      <w:pPr>
        <w:spacing w:after="200"/>
      </w:pPr>
      <w:r>
        <w:rPr>
          <w:rFonts w:ascii="Arial" w:cs="Arial" w:eastAsia="Arial" w:hAnsi="Arial"/>
          <w:sz w:val="24"/>
          <w:szCs w:val="24"/>
        </w:rPr>
        <w:t xml:space="preserve">NanoClaw is a lightweight, security-first AI agent platform created by Gavriel Cohen. Its core codebase is approximately 500–700 lines of TypeScript—compared to OpenClaw’s 400,000 lines across 53 config files and 70+ dependencies. Andrej Karpathy endorsed it publicly, noting that its small size “fits into both my head and that of AI agents, so it feels manageable, auditable, flexible.”</w:t>
      </w:r>
    </w:p>
    <w:p>
      <w:pPr>
        <w:spacing w:after="200"/>
      </w:pPr>
      <w:r>
        <w:rPr>
          <w:rFonts w:ascii="Arial" w:cs="Arial" w:eastAsia="Arial" w:hAnsi="Arial"/>
          <w:sz w:val="24"/>
          <w:szCs w:val="24"/>
        </w:rPr>
        <w:t xml:space="preserve">Three properties make NanoClaw fundamentally different from OpenClaw:</w:t>
      </w:r>
    </w:p>
    <w:p>
      <w:pPr>
        <w:spacing w:after="200"/>
      </w:pPr>
      <w:r>
        <w:rPr>
          <w:rFonts w:ascii="Arial" w:cs="Arial" w:eastAsia="Arial" w:hAnsi="Arial"/>
          <w:sz w:val="24"/>
          <w:szCs w:val="24"/>
        </w:rPr>
        <w:t xml:space="preserve"/>
      </w:r>
      <w:r>
        <w:rPr>
          <w:rFonts w:ascii="Arial" w:cs="Arial" w:eastAsia="Arial" w:hAnsi="Arial"/>
          <w:b/>
          <w:bCs/>
          <w:sz w:val="24"/>
          <w:szCs w:val="24"/>
        </w:rPr>
        <w:t xml:space="preserve">Container-per-agent isolation.</w:t>
      </w:r>
      <w:r>
        <w:rPr>
          <w:rFonts w:ascii="Arial" w:cs="Arial" w:eastAsia="Arial" w:hAnsi="Arial"/>
          <w:sz w:val="24"/>
          <w:szCs w:val="24"/>
        </w:rPr>
        <w:t xml:space="preserve"> Each agent runs in its own Docker container with its own filesystem, session history, and Claude session. Containers are ephemeral, created fresh per invocation and destroyed afterward. The agent runs as an unprivileged user and can only see directories explicitly mounted in. The container boundary is enforced by the OS, not by application-level checks.</w:t>
      </w:r>
    </w:p>
    <w:p>
      <w:pPr>
        <w:spacing w:after="200"/>
      </w:pPr>
      <w:r>
        <w:rPr>
          <w:rFonts w:ascii="Arial" w:cs="Arial" w:eastAsia="Arial" w:hAnsi="Arial"/>
          <w:sz w:val="24"/>
          <w:szCs w:val="24"/>
        </w:rPr>
        <w:t xml:space="preserve"/>
      </w:r>
      <w:r>
        <w:rPr>
          <w:rFonts w:ascii="Arial" w:cs="Arial" w:eastAsia="Arial" w:hAnsi="Arial"/>
          <w:b/>
          <w:bCs/>
          <w:sz w:val="24"/>
          <w:szCs w:val="24"/>
        </w:rPr>
        <w:t xml:space="preserve">Built on Claude Agent SDK.</w:t>
      </w:r>
      <w:r>
        <w:rPr>
          <w:rFonts w:ascii="Arial" w:cs="Arial" w:eastAsia="Arial" w:hAnsi="Arial"/>
          <w:sz w:val="24"/>
          <w:szCs w:val="24"/>
        </w:rPr>
        <w:t xml:space="preserve"> NanoClaw wraps Anthropic’s Claude Code engine with an orchestration layer handling scheduled tasks, persistent memory, channel integrations (WhatsApp, Telegram, Slack, Discord), and message routing—all inside isolated Docker containers.</w:t>
      </w:r>
    </w:p>
    <w:p>
      <w:pPr>
        <w:spacing w:after="200"/>
      </w:pPr>
      <w:r>
        <w:rPr>
          <w:rFonts w:ascii="Arial" w:cs="Arial" w:eastAsia="Arial" w:hAnsi="Arial"/>
          <w:sz w:val="24"/>
          <w:szCs w:val="24"/>
        </w:rPr>
        <w:t xml:space="preserve"/>
      </w:r>
      <w:r>
        <w:rPr>
          <w:rFonts w:ascii="Arial" w:cs="Arial" w:eastAsia="Arial" w:hAnsi="Arial"/>
          <w:b/>
          <w:bCs/>
          <w:sz w:val="24"/>
          <w:szCs w:val="24"/>
        </w:rPr>
        <w:t xml:space="preserve">Docker partnership.</w:t>
      </w:r>
      <w:r>
        <w:rPr>
          <w:rFonts w:ascii="Arial" w:cs="Arial" w:eastAsia="Arial" w:hAnsi="Arial"/>
          <w:sz w:val="24"/>
          <w:szCs w:val="24"/>
        </w:rPr>
        <w:t xml:space="preserve"> On March 13, 2026, NanoClaw partnered with Docker to deploy inside Docker’s MicroVM-based Sandboxes with a single command. Even container escape via zero-day vulnerabilities is contained within the MicroVM. NanoClaw has surpassed 20,000 GitHub stars and 100,000 downloads.</w:t>
      </w:r>
    </w:p>
    <w:p>
      <w:pPr>
        <w:pStyle w:val="Heading2"/>
      </w:pPr>
      <w:r>
        <w:rPr>
          <w:rFonts w:ascii="Arial" w:cs="Arial" w:eastAsia="Arial" w:hAnsi="Arial"/>
        </w:rPr>
        <w:t xml:space="preserve">4.2 The Architectural Insight: Build Local, Scale to Cloud</w:t>
      </w:r>
    </w:p>
    <w:p>
      <w:pPr>
        <w:spacing w:after="200"/>
      </w:pPr>
      <w:r>
        <w:rPr>
          <w:rFonts w:ascii="Arial" w:cs="Arial" w:eastAsia="Arial" w:hAnsi="Arial"/>
          <w:sz w:val="24"/>
          <w:szCs w:val="24"/>
        </w:rPr>
        <w:t xml:space="preserve">The proposed architecture follows the pattern the software industry has used for decades: build local first, then scale to cloud. Git runs locally before GitHub adds collaboration. Docker runs on your laptop before Kubernetes orchestrates at scale. VS Code runs locally before Remote SSH extends it.</w:t>
      </w:r>
    </w:p>
    <w:p>
      <w:pPr>
        <w:spacing w:after="200"/>
      </w:pPr>
      <w:r>
        <w:rPr>
          <w:rFonts w:ascii="Arial" w:cs="Arial" w:eastAsia="Arial" w:hAnsi="Arial"/>
          <w:sz w:val="24"/>
          <w:szCs w:val="24"/>
        </w:rPr>
        <w:t xml:space="preserve"/>
      </w:r>
      <w:r>
        <w:rPr>
          <w:rFonts w:ascii="Arial" w:cs="Arial" w:eastAsia="Arial" w:hAnsi="Arial"/>
          <w:b/>
          <w:bCs/>
          <w:sz w:val="24"/>
          <w:szCs w:val="24"/>
        </w:rPr>
        <w:t xml:space="preserve">Phase 1 (TutorClaw Local):</w:t>
      </w:r>
      <w:r>
        <w:rPr>
          <w:rFonts w:ascii="Arial" w:cs="Arial" w:eastAsia="Arial" w:hAnsi="Arial"/>
          <w:sz w:val="24"/>
          <w:szCs w:val="24"/>
        </w:rPr>
        <w:t xml:space="preserve"> A learner installs NanoClaw on their own machine, connects WhatsApp via QR code, and TutorClaw comes alive as their personal AI tutor in a Docker container. The PRIMM-AI+ framework is packaged as a NanoClaw skill. The 30 book chapters are mounted read-only. The learner provides their own Claude API key. Cost to operator: zero.</w:t>
      </w:r>
    </w:p>
    <w:p>
      <w:pPr>
        <w:spacing w:after="200"/>
      </w:pPr>
      <w:r>
        <w:rPr>
          <w:rFonts w:ascii="Arial" w:cs="Arial" w:eastAsia="Arial" w:hAnsi="Arial"/>
          <w:sz w:val="24"/>
          <w:szCs w:val="24"/>
        </w:rPr>
        <w:t xml:space="preserve"/>
      </w:r>
      <w:r>
        <w:rPr>
          <w:rFonts w:ascii="Arial" w:cs="Arial" w:eastAsia="Arial" w:hAnsi="Arial"/>
          <w:b/>
          <w:bCs/>
          <w:sz w:val="24"/>
          <w:szCs w:val="24"/>
        </w:rPr>
        <w:t xml:space="preserve">Phase 2 (TutorClaw Cloud):</w:t>
      </w:r>
      <w:r>
        <w:rPr>
          <w:rFonts w:ascii="Arial" w:cs="Arial" w:eastAsia="Arial" w:hAnsi="Arial"/>
          <w:sz w:val="24"/>
          <w:szCs w:val="24"/>
        </w:rPr>
        <w:t xml:space="preserve"> The leap from “one container per agent” to “one container per learner” is conceptually small. A cloud platform spins up a NanoClaw container per learner on demand. Each learner gets their own isolated tutor instance—their own memory, session history, and chapter progress—all inside a container that cannot see any other learner’s data. WhatsApp Business Cloud API handles messaging at scale. An Orchestrator routes incoming messages to the correct container.</w:t>
      </w:r>
    </w:p>
    <w:p>
      <w:pPr>
        <w:pStyle w:val="Heading2"/>
      </w:pPr>
      <w:r>
        <w:rPr>
          <w:rFonts w:ascii="Arial" w:cs="Arial" w:eastAsia="Arial" w:hAnsi="Arial"/>
        </w:rPr>
        <w:t xml:space="preserve">4.3 Why This Is Architecturally Superior</w:t>
      </w:r>
    </w:p>
    <w:p>
      <w:pPr>
        <w:spacing w:after="200"/>
      </w:pPr>
      <w:r>
        <w:rPr>
          <w:rFonts w:ascii="Arial" w:cs="Arial" w:eastAsia="Arial" w:hAnsi="Arial"/>
          <w:sz w:val="24"/>
          <w:szCs w:val="24"/>
        </w:rPr>
        <w:t xml:space="preserve"/>
      </w:r>
      <w:r>
        <w:rPr>
          <w:rFonts w:ascii="Arial" w:cs="Arial" w:eastAsia="Arial" w:hAnsi="Arial"/>
          <w:b/>
          <w:bCs/>
          <w:sz w:val="24"/>
          <w:szCs w:val="24"/>
        </w:rPr>
        <w:t xml:space="preserve">Security is baked in, not bolted on.</w:t>
      </w:r>
      <w:r>
        <w:rPr>
          <w:rFonts w:ascii="Arial" w:cs="Arial" w:eastAsia="Arial" w:hAnsi="Arial"/>
          <w:sz w:val="24"/>
          <w:szCs w:val="24"/>
        </w:rPr>
        <w:t xml:space="preserve"> In the previous architecture, all learners share one process. With NanoClaw, each learner gets OS-level isolation. A compromised tutor session for one learner literally cannot see another learner’s data. NanoClaw’s creator states: “Security has to be enforced outside the agentic surface, not depend on the agent behaving correctly.”</w:t>
      </w:r>
    </w:p>
    <w:p>
      <w:pPr>
        <w:spacing w:after="200"/>
      </w:pPr>
      <w:r>
        <w:rPr>
          <w:rFonts w:ascii="Arial" w:cs="Arial" w:eastAsia="Arial" w:hAnsi="Arial"/>
          <w:sz w:val="24"/>
          <w:szCs w:val="24"/>
        </w:rPr>
        <w:t xml:space="preserve"/>
      </w:r>
      <w:r>
        <w:rPr>
          <w:rFonts w:ascii="Arial" w:cs="Arial" w:eastAsia="Arial" w:hAnsi="Arial"/>
          <w:b/>
          <w:bCs/>
          <w:sz w:val="24"/>
          <w:szCs w:val="24"/>
        </w:rPr>
        <w:t xml:space="preserve">Claude Agent SDK gives more than raw API calls.</w:t>
      </w:r>
      <w:r>
        <w:rPr>
          <w:rFonts w:ascii="Arial" w:cs="Arial" w:eastAsia="Arial" w:hAnsi="Arial"/>
          <w:sz w:val="24"/>
          <w:szCs w:val="24"/>
        </w:rPr>
        <w:t xml:space="preserve"> The tutor can read files (chapter content), write files (learner notes), run code (to verify a student’s Python solution), manage memory, and execute multi-step tool chains. A tutor that can run a student’s code, see the error, and explain what went wrong is dramatically more powerful than one that just reads code and guesses.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Pedagogical portability.</w:t>
      </w:r>
      <w:r>
        <w:rPr>
          <w:rFonts w:ascii="Arial" w:cs="Arial" w:eastAsia="Arial" w:hAnsi="Arial"/>
          <w:sz w:val="24"/>
          <w:szCs w:val="24"/>
        </w:rPr>
        <w:t xml:space="preserve"> The same NanoClaw TutorClaw skill works both locally (Phase 1) and in the cloud (Phase 2). A PIAIC student who builds their local TutorClaw in Chapter X of the book is learning the exact same system that runs in production. The gap between learning project and real product is just orchestration.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Better book.</w:t>
      </w:r>
      <w:r>
        <w:rPr>
          <w:rFonts w:ascii="Arial" w:cs="Arial" w:eastAsia="Arial" w:hAnsi="Arial"/>
          <w:sz w:val="24"/>
          <w:szCs w:val="24"/>
        </w:rPr>
        <w:t xml:space="preserve"> The pedagogical arc becomes: install NanoClaw locally, build the TutorClaw skill, Dockerize for security, scale to Kubernetes. Each chapter builds on the last. The student doesn’t discard anything—they elevate everything.</w:t>
      </w:r>
    </w:p>
    <w:p>
      <w:pPr>
        <w:pStyle w:val="Heading1"/>
      </w:pPr>
      <w:r>
        <w:rPr>
          <w:rFonts w:ascii="Arial" w:cs="Arial" w:eastAsia="Arial" w:hAnsi="Arial"/>
        </w:rPr>
        <w:t xml:space="preserve">5. Solving NanoClaw’s Limitations</w:t>
      </w:r>
    </w:p>
    <w:p>
      <w:pPr>
        <w:pStyle w:val="Heading2"/>
      </w:pPr>
      <w:r>
        <w:rPr>
          <w:rFonts w:ascii="Arial" w:cs="Arial" w:eastAsia="Arial" w:hAnsi="Arial"/>
        </w:rPr>
        <w:t xml:space="preserve">5.1 The Claude-Only Problem: Claude Code Router</w:t>
      </w:r>
    </w:p>
    <w:p>
      <w:pPr>
        <w:spacing w:after="200"/>
      </w:pPr>
      <w:r>
        <w:rPr>
          <w:rFonts w:ascii="Arial" w:cs="Arial" w:eastAsia="Arial" w:hAnsi="Arial"/>
          <w:sz w:val="24"/>
          <w:szCs w:val="24"/>
        </w:rPr>
        <w:t xml:space="preserve">NanoClaw runs exclusively on Anthropic’s Claude Agent SDK. This is a deliberate architectural decision, not a bug. But it kills the tiered model routing essential for TutorClaw’s economics—every learner on Claude means $0.10–$0.20/learner/day, yielding $48,000–$96,000/month for 16,000 learners.</w:t>
      </w:r>
    </w:p>
    <w:p>
      <w:pPr>
        <w:spacing w:after="200"/>
      </w:pPr>
      <w:r>
        <w:rPr>
          <w:rFonts w:ascii="Arial" w:cs="Arial" w:eastAsia="Arial" w:hAnsi="Arial"/>
          <w:sz w:val="24"/>
          <w:szCs w:val="24"/>
        </w:rPr>
        <w:t xml:space="preserve">The solution: </w:t>
      </w:r>
      <w:r>
        <w:rPr>
          <w:rFonts w:ascii="Arial" w:cs="Arial" w:eastAsia="Arial" w:hAnsi="Arial"/>
          <w:b/>
          <w:bCs/>
          <w:sz w:val="24"/>
          <w:szCs w:val="24"/>
        </w:rPr>
        <w:t xml:space="preserve">Claude Code Router</w:t>
      </w:r>
      <w:r>
        <w:rPr>
          <w:rFonts w:ascii="Arial" w:cs="Arial" w:eastAsia="Arial" w:hAnsi="Arial"/>
          <w:sz w:val="24"/>
          <w:szCs w:val="24"/>
        </w:rPr>
        <w:t xml:space="preserve"> (github.com/musistudio/claude-code-router, 27,800+ GitHub stars). It sits as a local proxy (127.0.0.1:3456) that intercepts Claude Agent SDK calls and routes them to any provider via OpenRouter. NanoClaw containers think they’re talking to Claude. The Router decides the actual destination based on a custom JavaScript function.</w:t>
      </w:r>
    </w:p>
    <w:p>
      <w:pPr>
        <w:spacing w:after="200"/>
      </w:pPr>
      <w:r>
        <w:rPr>
          <w:rFonts w:ascii="Arial" w:cs="Arial" w:eastAsia="Arial" w:hAnsi="Arial"/>
          <w:sz w:val="24"/>
          <w:szCs w:val="24"/>
        </w:rPr>
        <w:t xml:space="preserve">The Router’s “activate” command sets environment variables (ANTHROPIC_BASE_URL to the local router endpoint) so that applications built with the Anthropic Agent SDK automatically use the configured router. This means NanoClaw containers need only eval “$(ccr activate)” at startup. </w:t>
      </w:r>
      <w:r>
        <w:rPr>
          <w:rFonts w:ascii="Arial" w:cs="Arial" w:eastAsia="Arial" w:hAnsi="Arial"/>
          <w:b/>
          <w:bCs/>
          <w:sz w:val="24"/>
          <w:szCs w:val="24"/>
        </w:rPr>
        <w:t xml:space="preserve">Zero code changes to NanoClaw itself.</w:t>
      </w:r>
      <w:r>
        <w:rPr>
          <w:rFonts w:ascii="Arial" w:cs="Arial" w:eastAsia="Arial" w:hAnsi="Arial"/>
          <w:sz w:val="24"/>
          <w:szCs w:val="24"/>
        </w:rPr>
        <w:t xml:space="preserve"/>
      </w:r>
    </w:p>
    <w:p>
      <w:pPr>
        <w:spacing w:after="200"/>
      </w:pPr>
      <w:r>
        <w:rPr>
          <w:rFonts w:ascii="Arial" w:cs="Arial" w:eastAsia="Arial" w:hAnsi="Arial"/>
          <w:sz w:val="24"/>
          <w:szCs w:val="24"/>
        </w:rPr>
        <w:t xml:space="preserve">A custom router script (tutorclaw-router.js) implements tier-aware routing: the Orchestrator sets an x-tutorclaw-tier header on each request, and the Router function reads it to select the model. Free tier routes to DeepSeek via OpenRouter. Paid tier routes to GPT-5.4 mini. Premium tier routes to Claude Sonnet directly. Escalation logic promotes complex interactions to stronger models regardless of tier.</w:t>
      </w:r>
    </w:p>
    <w:p>
      <w:pPr>
        <w:pStyle w:val="Heading2"/>
      </w:pPr>
      <w:r>
        <w:rPr>
          <w:rFonts w:ascii="Arial" w:cs="Arial" w:eastAsia="Arial" w:hAnsi="Arial"/>
        </w:rPr>
        <w:t xml:space="preserve">5.2 The Four Kubernetes Layers</w:t>
      </w:r>
    </w:p>
    <w:p>
      <w:pPr>
        <w:spacing w:after="200"/>
      </w:pPr>
      <w:r>
        <w:rPr>
          <w:rFonts w:ascii="Arial" w:cs="Arial" w:eastAsia="Arial" w:hAnsi="Arial"/>
          <w:sz w:val="24"/>
          <w:szCs w:val="24"/>
        </w:rPr>
        <w:t xml:space="preserve">Scaling NanoClaw to 16,000 learners requires four complementary Kubernetes-native tools, each solving a different problem:</w:t>
      </w:r>
    </w:p>
    <w:p>
      <w:pPr>
        <w:spacing w:after="200"/>
      </w:pPr>
      <w:r>
        <w:rPr>
          <w:rFonts w:ascii="Arial" w:cs="Arial" w:eastAsia="Arial" w:hAnsi="Arial"/>
          <w:sz w:val="24"/>
          <w:szCs w:val="24"/>
        </w:rPr>
        <w:t xml:space="preserve"/>
      </w:r>
      <w:r>
        <w:rPr>
          <w:rFonts w:ascii="Arial" w:cs="Arial" w:eastAsia="Arial" w:hAnsi="Arial"/>
          <w:b/>
          <w:bCs/>
          <w:sz w:val="24"/>
          <w:szCs w:val="24"/>
        </w:rPr>
        <w:t xml:space="preserve">ConfigMaps/Secrets (Configuration Layer):</w:t>
      </w:r>
      <w:r>
        <w:rPr>
          <w:rFonts w:ascii="Arial" w:cs="Arial" w:eastAsia="Arial" w:hAnsi="Arial"/>
          <w:sz w:val="24"/>
          <w:szCs w:val="24"/>
        </w:rPr>
        <w:t xml:space="preserve"> Stores static configuration—the SOUL.md system prompt per tier (full PRIMM-AI+ for premium, PRIMM-Lite for free), API keys, and chapter content references. When Kubernetes creates a pod, it mounts the correct ConfigMap based on tier. The container image is identical; only the mounted files differ. ConfigMaps manage what the agent is, not what it remembers.</w:t>
      </w:r>
    </w:p>
    <w:p>
      <w:pPr>
        <w:spacing w:after="200"/>
      </w:pPr>
      <w:r>
        <w:rPr>
          <w:rFonts w:ascii="Arial" w:cs="Arial" w:eastAsia="Arial" w:hAnsi="Arial"/>
          <w:sz w:val="24"/>
          <w:szCs w:val="24"/>
        </w:rPr>
        <w:t xml:space="preserve"/>
      </w:r>
      <w:r>
        <w:rPr>
          <w:rFonts w:ascii="Arial" w:cs="Arial" w:eastAsia="Arial" w:hAnsi="Arial"/>
          <w:b/>
          <w:bCs/>
          <w:sz w:val="24"/>
          <w:szCs w:val="24"/>
        </w:rPr>
        <w:t xml:space="preserve">Agent Sandbox (Security Layer):</w:t>
      </w:r>
      <w:r>
        <w:rPr>
          <w:rFonts w:ascii="Arial" w:cs="Arial" w:eastAsia="Arial" w:hAnsi="Arial"/>
          <w:sz w:val="24"/>
          <w:szCs w:val="24"/>
        </w:rPr>
        <w:t xml:space="preserve"> A CNCF Kubernetes primitive providing gVisor kernel-level isolation. Each TutorClaw pod runs inside a sandbox. Network policies enforce default-deny—each sandbox can reach only OpenRouter’s API and the WhatsApp webhook sender. Pre-warmed pools of 50–100 empty sandboxes deliver sub-second latency (90% improvement over cold starts) when a new learner arrives.</w:t>
      </w:r>
    </w:p>
    <w:p>
      <w:pPr>
        <w:spacing w:after="200"/>
      </w:pPr>
      <w:r>
        <w:rPr>
          <w:rFonts w:ascii="Arial" w:cs="Arial" w:eastAsia="Arial" w:hAnsi="Arial"/>
          <w:sz w:val="24"/>
          <w:szCs w:val="24"/>
        </w:rPr>
        <w:t xml:space="preserve"/>
      </w:r>
      <w:r>
        <w:rPr>
          <w:rFonts w:ascii="Arial" w:cs="Arial" w:eastAsia="Arial" w:hAnsi="Arial"/>
          <w:b/>
          <w:bCs/>
          <w:sz w:val="24"/>
          <w:szCs w:val="24"/>
        </w:rPr>
        <w:t xml:space="preserve">Pod Snapshots (State &amp; Lifecycle Layer):</w:t>
      </w:r>
      <w:r>
        <w:rPr>
          <w:rFonts w:ascii="Arial" w:cs="Arial" w:eastAsia="Arial" w:hAnsi="Arial"/>
          <w:sz w:val="24"/>
          <w:szCs w:val="24"/>
        </w:rPr>
        <w:t xml:space="preserve"> GKE-exclusive feature enabling full checkpoint and restore of running pods. When a learner goes inactive, their pod’s complete state (process memory, filesystem, context) is saved to Cloud Storage and the pod is terminated. When they return, the pod is restored in seconds, resuming exactly where it left off. This is the primary tool for managing container state. Economically, idle learners cost only storage (~$0.02/GB/month), not compute.</w:t>
      </w:r>
    </w:p>
    <w:p>
      <w:pPr>
        <w:spacing w:after="200"/>
      </w:pPr>
      <w:r>
        <w:rPr>
          <w:rFonts w:ascii="Arial" w:cs="Arial" w:eastAsia="Arial" w:hAnsi="Arial"/>
          <w:sz w:val="24"/>
          <w:szCs w:val="24"/>
        </w:rPr>
        <w:t xml:space="preserve"/>
      </w:r>
      <w:r>
        <w:rPr>
          <w:rFonts w:ascii="Arial" w:cs="Arial" w:eastAsia="Arial" w:hAnsi="Arial"/>
          <w:b/>
          <w:bCs/>
          <w:sz w:val="24"/>
          <w:szCs w:val="24"/>
        </w:rPr>
        <w:t xml:space="preserve">Kagent (Monitoring Layer):</w:t>
      </w:r>
      <w:r>
        <w:rPr>
          <w:rFonts w:ascii="Arial" w:cs="Arial" w:eastAsia="Arial" w:hAnsi="Arial"/>
          <w:sz w:val="24"/>
          <w:szCs w:val="24"/>
        </w:rPr>
        <w:t xml:space="preserve"> An AI agent monitoring the Kubernetes cluster itself. Detects unresponsive pods, snapshot restore failures, resource exhaustion, and abnormal patterns. Can auto-remediate by triggering snapshots before terminating failing pods. Optional for Phase 1 but valuable at scale.</w:t>
      </w:r>
    </w:p>
    <w:p>
      <w:pPr>
        <w:pStyle w:val="Heading1"/>
      </w:pPr>
      <w:r>
        <w:rPr>
          <w:rFonts w:ascii="Arial" w:cs="Arial" w:eastAsia="Arial" w:hAnsi="Arial"/>
        </w:rPr>
        <w:t xml:space="preserve">6. Portability: Alternatives to GKE Pod Snapshots</w:t>
      </w:r>
    </w:p>
    <w:p>
      <w:pPr>
        <w:spacing w:after="200"/>
      </w:pPr>
      <w:r>
        <w:rPr>
          <w:rFonts w:ascii="Arial" w:cs="Arial" w:eastAsia="Arial" w:hAnsi="Arial"/>
          <w:sz w:val="24"/>
          <w:szCs w:val="24"/>
        </w:rPr>
        <w:t xml:space="preserve">GKE Pod Snapshots are powerful but create Google Cloud vendor lock-in. The paper evaluated four alternatives:</w:t>
      </w:r>
    </w:p>
    <w:p>
      <w:pPr>
        <w:spacing w:after="200"/>
      </w:pPr>
      <w:r>
        <w:rPr>
          <w:rFonts w:ascii="Arial" w:cs="Arial" w:eastAsia="Arial" w:hAnsi="Arial"/>
          <w:sz w:val="24"/>
          <w:szCs w:val="24"/>
        </w:rPr>
        <w:t xml:space="preserve"/>
      </w:r>
      <w:r>
        <w:rPr>
          <w:rFonts w:ascii="Arial" w:cs="Arial" w:eastAsia="Arial" w:hAnsi="Arial"/>
          <w:b/>
          <w:bCs/>
          <w:sz w:val="24"/>
          <w:szCs w:val="24"/>
        </w:rPr>
        <w:t xml:space="preserve">CRIU + Kubernetes Checkpoint/Restore (open standard):</w:t>
      </w:r>
      <w:r>
        <w:rPr>
          <w:rFonts w:ascii="Arial" w:cs="Arial" w:eastAsia="Arial" w:hAnsi="Arial"/>
          <w:sz w:val="24"/>
          <w:szCs w:val="24"/>
        </w:rPr>
        <w:t xml:space="preserve"> The foundational technology underneath GKE Pod Snapshots. CRIU (Checkpoint/Restore In Userspace) freezes a running container and saves its state to disk. Container checkpointing graduated to beta in Kubernetes v1.30. A new Kubernetes Checkpoint/Restore Working Group was announced in January 2026. However, restoring a checkpoint as another Pod on a different Node is not yet natively supported in mainstream Kubernetes. This is the long-term correct answer for full cloud portability.</w:t>
      </w:r>
    </w:p>
    <w:p>
      <w:pPr>
        <w:spacing w:after="200"/>
      </w:pPr>
      <w:r>
        <w:rPr>
          <w:rFonts w:ascii="Arial" w:cs="Arial" w:eastAsia="Arial" w:hAnsi="Arial"/>
          <w:sz w:val="24"/>
          <w:szCs w:val="24"/>
        </w:rPr>
        <w:t xml:space="preserve"/>
      </w:r>
      <w:r>
        <w:rPr>
          <w:rFonts w:ascii="Arial" w:cs="Arial" w:eastAsia="Arial" w:hAnsi="Arial"/>
          <w:b/>
          <w:bCs/>
          <w:sz w:val="24"/>
          <w:szCs w:val="24"/>
        </w:rPr>
        <w:t xml:space="preserve">Fly.io Sprites (serverless alternative):</w:t>
      </w:r>
      <w:r>
        <w:rPr>
          <w:rFonts w:ascii="Arial" w:cs="Arial" w:eastAsia="Arial" w:hAnsi="Arial"/>
          <w:sz w:val="24"/>
          <w:szCs w:val="24"/>
        </w:rPr>
        <w:t xml:space="preserve"> Persistent, instantly available VMs that idle when inactive with state preserved. Storage: cold at $0.02/GB-month, hot at $0.5/GB-month. Resume from idle in ~300ms. No Kubernetes required. The CEO’s reasoning matches TutorClaw’s needs: agents require persistent environments that evolve as needed, not ephemeral containers that rebuild every time.</w:t>
      </w:r>
    </w:p>
    <w:p>
      <w:pPr>
        <w:spacing w:after="200"/>
      </w:pPr>
      <w:r>
        <w:rPr>
          <w:rFonts w:ascii="Arial" w:cs="Arial" w:eastAsia="Arial" w:hAnsi="Arial"/>
          <w:sz w:val="24"/>
          <w:szCs w:val="24"/>
        </w:rPr>
        <w:t xml:space="preserve"/>
      </w:r>
      <w:r>
        <w:rPr>
          <w:rFonts w:ascii="Arial" w:cs="Arial" w:eastAsia="Arial" w:hAnsi="Arial"/>
          <w:b/>
          <w:bCs/>
          <w:sz w:val="24"/>
          <w:szCs w:val="24"/>
        </w:rPr>
        <w:t xml:space="preserve">Crik (bridge solution):</w:t>
      </w:r>
      <w:r>
        <w:rPr>
          <w:rFonts w:ascii="Arial" w:cs="Arial" w:eastAsia="Arial" w:hAnsi="Arial"/>
          <w:sz w:val="24"/>
          <w:szCs w:val="24"/>
        </w:rPr>
        <w:t xml:space="preserve"> A CRIU wrapper that checkpoints on SIGTERM and restores from checkpoint on startup. Works on any Kubernetes cluster today but is not production-ready.</w:t>
      </w:r>
    </w:p>
    <w:p>
      <w:pPr>
        <w:spacing w:after="200"/>
      </w:pPr>
      <w:r>
        <w:rPr>
          <w:rFonts w:ascii="Arial" w:cs="Arial" w:eastAsia="Arial" w:hAnsi="Arial"/>
          <w:sz w:val="24"/>
          <w:szCs w:val="24"/>
        </w:rPr>
        <w:t xml:space="preserve"/>
      </w:r>
      <w:r>
        <w:rPr>
          <w:rFonts w:ascii="Arial" w:cs="Arial" w:eastAsia="Arial" w:hAnsi="Arial"/>
          <w:b/>
          <w:bCs/>
          <w:sz w:val="24"/>
          <w:szCs w:val="24"/>
        </w:rPr>
        <w:t xml:space="preserve">External State Store (universal fallback):</w:t>
      </w:r>
      <w:r>
        <w:rPr>
          <w:rFonts w:ascii="Arial" w:cs="Arial" w:eastAsia="Arial" w:hAnsi="Arial"/>
          <w:sz w:val="24"/>
          <w:szCs w:val="24"/>
        </w:rPr>
        <w:t xml:space="preserve"> All learner state serialized to PostgreSQL/Redis. Container starts fresh each time and rebuilds context from the database. Works everywhere, simplest to implement, but loses in-process state and adds 7–20 seconds of cold start latency.</w:t>
      </w:r>
    </w:p>
    <w:p>
      <w:pPr>
        <w:pStyle w:val="Heading1"/>
      </w:pPr>
      <w:r>
        <w:rPr>
          <w:rFonts w:ascii="Arial" w:cs="Arial" w:eastAsia="Arial" w:hAnsi="Arial"/>
        </w:rPr>
        <w:t xml:space="preserve">7. Economic Comparison of Infrastructure Options</w:t>
      </w:r>
    </w:p>
    <w:p>
      <w:pPr>
        <w:spacing w:after="200"/>
      </w:pPr>
      <w:r>
        <w:rPr>
          <w:rFonts w:ascii="Arial" w:cs="Arial" w:eastAsia="Arial" w:hAnsi="Arial"/>
          <w:sz w:val="24"/>
          <w:szCs w:val="24"/>
        </w:rPr>
        <w:t xml:space="preserve">The paper modeled costs for 16,000 registered learners with 4,000 daily active users and ~5–10% peak concurrency: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700"/>
        <w:gridCol w:w="1500"/>
        <w:gridCol w:w="1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Infra</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LLM Cost</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Total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Resume Latency</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Lock-in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Fly.io Sprites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$1,400–1,600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$13,400–13,600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~300ms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 + Pod Snapshots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$575–700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$12,575–12,700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CRIU on any K8s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State Store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$12,200–12,300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 sec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Critical insight: infrastructure is not the cost driver.</w:t>
      </w:r>
      <w:r>
        <w:rPr>
          <w:rFonts w:ascii="Arial" w:cs="Arial" w:eastAsia="Arial" w:hAnsi="Arial"/>
          <w:sz w:val="24"/>
          <w:szCs w:val="24"/>
        </w:rPr>
        <w:t xml:space="preserve"> LLM costs ($12,000/month) dwarf every infrastructure option. The difference between the cheapest (External State at $200/month) and most expensive (Fly.io at $1,600/month) is $1,400/month—only 11% of total costs. Model routing strategy (choosing DeepSeek vs. Claude per interaction) matters 10x more than infrastructure choice.</w:t>
      </w:r>
    </w:p>
    <w:p>
      <w:pPr>
        <w:pStyle w:val="Heading1"/>
      </w:pPr>
      <w:r>
        <w:rPr>
          <w:rFonts w:ascii="Arial" w:cs="Arial" w:eastAsia="Arial" w:hAnsi="Arial"/>
        </w:rPr>
        <w:t xml:space="preserve">8. The Final NanoClaw-Native Architecture</w:t>
      </w:r>
    </w:p>
    <w:p>
      <w:pPr>
        <w:spacing w:after="200"/>
      </w:pPr>
      <w:r>
        <w:rPr>
          <w:rFonts w:ascii="Arial" w:cs="Arial" w:eastAsia="Arial" w:hAnsi="Arial"/>
          <w:sz w:val="24"/>
          <w:szCs w:val="24"/>
        </w:rPr>
        <w:t xml:space="preserve">The recommended architecture proceeds in phases, each justified by learner adoption and revenue:</w:t>
      </w:r>
    </w:p>
    <w:p>
      <w:pPr>
        <w:spacing w:after="200"/>
      </w:pPr>
      <w:r>
        <w:rPr>
          <w:rFonts w:ascii="Arial" w:cs="Arial" w:eastAsia="Arial" w:hAnsi="Arial"/>
          <w:sz w:val="24"/>
          <w:szCs w:val="24"/>
        </w:rPr>
        <w:t xml:space="preserve"/>
      </w:r>
      <w:r>
        <w:rPr>
          <w:rFonts w:ascii="Arial" w:cs="Arial" w:eastAsia="Arial" w:hAnsi="Arial"/>
          <w:b/>
          <w:bCs/>
          <w:sz w:val="24"/>
          <w:szCs w:val="24"/>
        </w:rPr>
        <w:t xml:space="preserve">Phase 1 (Months 1–3): TutorClaw Local + External State Store on Cloud Run.</w:t>
      </w:r>
      <w:r>
        <w:rPr>
          <w:rFonts w:ascii="Arial" w:cs="Arial" w:eastAsia="Arial" w:hAnsi="Arial"/>
          <w:sz w:val="24"/>
          <w:szCs w:val="24"/>
        </w:rPr>
        <w:t xml:space="preserve"> Ship fast. Each PIAIC student builds their own TutorClaw locally using NanoClaw (book chapter material). The centralized version runs on Cloud Run with PostgreSQL, accepting 7–20 second cold starts while validating product-market fit. Total cost: ~$12,200/month. Focus: does the product work? Do learners convert from free to paid?</w:t>
      </w:r>
    </w:p>
    <w:p>
      <w:pPr>
        <w:spacing w:after="200"/>
      </w:pPr>
      <w:r>
        <w:rPr>
          <w:rFonts w:ascii="Arial" w:cs="Arial" w:eastAsia="Arial" w:hAnsi="Arial"/>
          <w:sz w:val="24"/>
          <w:szCs w:val="24"/>
        </w:rPr>
        <w:t xml:space="preserve"/>
      </w:r>
      <w:r>
        <w:rPr>
          <w:rFonts w:ascii="Arial" w:cs="Arial" w:eastAsia="Arial" w:hAnsi="Arial"/>
          <w:b/>
          <w:bCs/>
          <w:sz w:val="24"/>
          <w:szCs w:val="24"/>
        </w:rPr>
        <w:t xml:space="preserve">Phase 2 (Months 3–6): Fly.io Sprites.</w:t>
      </w:r>
      <w:r>
        <w:rPr>
          <w:rFonts w:ascii="Arial" w:cs="Arial" w:eastAsia="Arial" w:hAnsi="Arial"/>
          <w:sz w:val="24"/>
          <w:szCs w:val="24"/>
        </w:rPr>
        <w:t xml:space="preserve"> Migrate to Sprites for 300ms resume and persistent state. Each learner’s NanoClaw container persists across sessions. Dramatically improves the “pick up where you left off” experience. This is the experience that converts free users to paid. Total cost: ~$13,500/month ($1,300/month more than Phase 1). Optimize container images to ~200MB to reduce idle storage costs.</w:t>
      </w:r>
    </w:p>
    <w:p>
      <w:pPr>
        <w:spacing w:after="200"/>
      </w:pPr>
      <w:r>
        <w:rPr>
          <w:rFonts w:ascii="Arial" w:cs="Arial" w:eastAsia="Arial" w:hAnsi="Arial"/>
          <w:sz w:val="24"/>
          <w:szCs w:val="24"/>
        </w:rPr>
        <w:t xml:space="preserve"/>
      </w:r>
      <w:r>
        <w:rPr>
          <w:rFonts w:ascii="Arial" w:cs="Arial" w:eastAsia="Arial" w:hAnsi="Arial"/>
          <w:b/>
          <w:bCs/>
          <w:sz w:val="24"/>
          <w:szCs w:val="24"/>
        </w:rPr>
        <w:t xml:space="preserve">Phase 3 (Months 6–12): GKE + Pod Snapshots + Agent Sandbox.</w:t>
      </w:r>
      <w:r>
        <w:rPr>
          <w:rFonts w:ascii="Arial" w:cs="Arial" w:eastAsia="Arial" w:hAnsi="Arial"/>
          <w:sz w:val="24"/>
          <w:szCs w:val="24"/>
        </w:rPr>
        <w:t xml:space="preserve"> Move to GKE when enterprise features are needed: data residency for banking clients, multi-region deployment, Agent Sandbox security for corporate training. Pod Snapshots provide the same sleep/wake as Sprites with Kubernetes’ orchestration power. Total cost: ~$12,600/month (actually cheaper than Fly.io at scale due to pay-for-active-only economics).</w:t>
      </w:r>
    </w:p>
    <w:p>
      <w:pPr>
        <w:spacing w:after="200"/>
      </w:pPr>
      <w:r>
        <w:rPr>
          <w:rFonts w:ascii="Arial" w:cs="Arial" w:eastAsia="Arial" w:hAnsi="Arial"/>
          <w:sz w:val="24"/>
          <w:szCs w:val="24"/>
        </w:rPr>
        <w:t xml:space="preserve"/>
      </w:r>
      <w:r>
        <w:rPr>
          <w:rFonts w:ascii="Arial" w:cs="Arial" w:eastAsia="Arial" w:hAnsi="Arial"/>
          <w:b/>
          <w:bCs/>
          <w:sz w:val="24"/>
          <w:szCs w:val="24"/>
        </w:rPr>
        <w:t xml:space="preserve">Long-term: CRIU on any Kubernetes.</w:t>
      </w:r>
      <w:r>
        <w:rPr>
          <w:rFonts w:ascii="Arial" w:cs="Arial" w:eastAsia="Arial" w:hAnsi="Arial"/>
          <w:sz w:val="24"/>
          <w:szCs w:val="24"/>
        </w:rPr>
        <w:t xml:space="preserve"> When Kubernetes Checkpoint/Restore matures (likely late 2026/2027), migrate to cloud-agnostic CRIU for full portability.</w:t>
      </w:r>
    </w:p>
    <w:p>
      <w:pPr>
        <w:spacing w:after="100"/>
      </w:pPr>
    </w:p>
    <w:p>
      <w:pPr>
        <w:spacing w:after="200"/>
      </w:pPr>
      <w:r>
        <w:rPr>
          <w:rFonts w:ascii="Arial" w:cs="Arial" w:eastAsia="Arial" w:hAnsi="Arial"/>
          <w:sz w:val="24"/>
          <w:szCs w:val="24"/>
        </w:rPr>
        <w:t xml:space="preserve">The complete Phase 3 message flow:</w:t>
      </w:r>
    </w:p>
    <w:p>
      <w:pPr>
        <w:shd w:fill="F5F5F5" w:val="clear"/>
        <w:spacing w:after="80"/>
      </w:pPr>
      <w:r>
        <w:rPr>
          <w:rFonts w:ascii="Courier New" w:cs="Courier New" w:eastAsia="Courier New" w:hAnsi="Courier New"/>
          <w:sz w:val="20"/>
          <w:szCs w:val="20"/>
        </w:rPr>
        <w:t xml:space="preserve">WhatsApp Business Cloud API (Meta) → Webhook Receiver</w:t>
      </w:r>
    </w:p>
    <w:p>
      <w:pPr>
        <w:shd w:fill="F5F5F5" w:val="clear"/>
        <w:spacing w:after="80"/>
      </w:pPr>
      <w:r>
        <w:rPr>
          <w:rFonts w:ascii="Courier New" w:cs="Courier New" w:eastAsia="Courier New" w:hAnsi="Courier New"/>
          <w:sz w:val="20"/>
          <w:szCs w:val="20"/>
        </w:rPr>
        <w:t xml:space="preserve">  → Orchestrator (identifies learner, looks up Stripe tier)</w:t>
      </w:r>
    </w:p>
    <w:p>
      <w:pPr>
        <w:shd w:fill="F5F5F5" w:val="clear"/>
        <w:spacing w:after="80"/>
      </w:pPr>
      <w:r>
        <w:rPr>
          <w:rFonts w:ascii="Courier New" w:cs="Courier New" w:eastAsia="Courier New" w:hAnsi="Courier New"/>
          <w:sz w:val="20"/>
          <w:szCs w:val="20"/>
        </w:rPr>
        <w:t xml:space="preserve">  → Routes to learner’s NanoClaw Pod in GKE</w:t>
      </w:r>
    </w:p>
    <w:p>
      <w:pPr>
        <w:shd w:fill="F5F5F5" w:val="clear"/>
        <w:spacing w:after="80"/>
      </w:pPr>
      <w:r>
        <w:rPr>
          <w:rFonts w:ascii="Courier New" w:cs="Courier New" w:eastAsia="Courier New" w:hAnsi="Courier New"/>
          <w:sz w:val="20"/>
          <w:szCs w:val="20"/>
        </w:rPr>
        <w:t xml:space="preserve">      Pod contains:</w:t>
      </w:r>
    </w:p>
    <w:p>
      <w:pPr>
        <w:shd w:fill="F5F5F5" w:val="clear"/>
        <w:spacing w:after="80"/>
      </w:pPr>
      <w:r>
        <w:rPr>
          <w:rFonts w:ascii="Courier New" w:cs="Courier New" w:eastAsia="Courier New" w:hAnsi="Courier New"/>
          <w:sz w:val="20"/>
          <w:szCs w:val="20"/>
        </w:rPr>
        <w:t xml:space="preserve">      ├─ NanoClaw container (Claude Agent SDK)</w:t>
      </w:r>
    </w:p>
    <w:p>
      <w:pPr>
        <w:shd w:fill="F5F5F5" w:val="clear"/>
        <w:spacing w:after="80"/>
      </w:pPr>
      <w:r>
        <w:rPr>
          <w:rFonts w:ascii="Courier New" w:cs="Courier New" w:eastAsia="Courier New" w:hAnsi="Courier New"/>
          <w:sz w:val="20"/>
          <w:szCs w:val="20"/>
        </w:rPr>
        <w:t xml:space="preserve">      ├─ Claude Code Router (model routing shim)</w:t>
      </w:r>
    </w:p>
    <w:p>
      <w:pPr>
        <w:shd w:fill="F5F5F5" w:val="clear"/>
        <w:spacing w:after="80"/>
      </w:pPr>
      <w:r>
        <w:rPr>
          <w:rFonts w:ascii="Courier New" w:cs="Courier New" w:eastAsia="Courier New" w:hAnsi="Courier New"/>
          <w:sz w:val="20"/>
          <w:szCs w:val="20"/>
        </w:rPr>
        <w:t xml:space="preserve">      │   ├─ Free → DeepSeek via OpenRouter</w:t>
      </w:r>
    </w:p>
    <w:p>
      <w:pPr>
        <w:shd w:fill="F5F5F5" w:val="clear"/>
        <w:spacing w:after="80"/>
      </w:pPr>
      <w:r>
        <w:rPr>
          <w:rFonts w:ascii="Courier New" w:cs="Courier New" w:eastAsia="Courier New" w:hAnsi="Courier New"/>
          <w:sz w:val="20"/>
          <w:szCs w:val="20"/>
        </w:rPr>
        <w:t xml:space="preserve">      │   ├─ Paid → GPT-5.4 mini via OpenRouter</w:t>
      </w:r>
    </w:p>
    <w:p>
      <w:pPr>
        <w:shd w:fill="F5F5F5" w:val="clear"/>
        <w:spacing w:after="80"/>
      </w:pPr>
      <w:r>
        <w:rPr>
          <w:rFonts w:ascii="Courier New" w:cs="Courier New" w:eastAsia="Courier New" w:hAnsi="Courier New"/>
          <w:sz w:val="20"/>
          <w:szCs w:val="20"/>
        </w:rPr>
        <w:t xml:space="preserve">      │   └─ Premium → Claude Sonnet direct</w:t>
      </w:r>
    </w:p>
    <w:p>
      <w:pPr>
        <w:shd w:fill="F5F5F5" w:val="clear"/>
        <w:spacing w:after="80"/>
      </w:pPr>
      <w:r>
        <w:rPr>
          <w:rFonts w:ascii="Courier New" w:cs="Courier New" w:eastAsia="Courier New" w:hAnsi="Courier New"/>
          <w:sz w:val="20"/>
          <w:szCs w:val="20"/>
        </w:rPr>
        <w:t xml:space="preserve">      ├─ ConfigMap mount (SOUL.md per tier)</w:t>
      </w:r>
    </w:p>
    <w:p>
      <w:pPr>
        <w:shd w:fill="F5F5F5" w:val="clear"/>
        <w:spacing w:after="80"/>
      </w:pPr>
      <w:r>
        <w:rPr>
          <w:rFonts w:ascii="Courier New" w:cs="Courier New" w:eastAsia="Courier New" w:hAnsi="Courier New"/>
          <w:sz w:val="20"/>
          <w:szCs w:val="20"/>
        </w:rPr>
        <w:t xml:space="preserve">      ├─ Chapter content (read-only volume)</w:t>
      </w:r>
    </w:p>
    <w:p>
      <w:pPr>
        <w:shd w:fill="F5F5F5" w:val="clear"/>
        <w:spacing w:after="80"/>
      </w:pPr>
      <w:r>
        <w:rPr>
          <w:rFonts w:ascii="Courier New" w:cs="Courier New" w:eastAsia="Courier New" w:hAnsi="Courier New"/>
          <w:sz w:val="20"/>
          <w:szCs w:val="20"/>
        </w:rPr>
        <w:t xml:space="preserve">      └─ Persistent Volume (learner state)</w:t>
      </w:r>
    </w:p>
    <w:p>
      <w:pPr>
        <w:shd w:fill="F5F5F5" w:val="clear"/>
        <w:spacing w:after="80"/>
      </w:pPr>
      <w:r>
        <w:rPr>
          <w:rFonts w:ascii="Courier New" w:cs="Courier New" w:eastAsia="Courier New" w:hAnsi="Courier New"/>
          <w:sz w:val="20"/>
          <w:szCs w:val="20"/>
        </w:rPr>
        <w:t xml:space="preserve">  → Response flows back via WhatsApp Cloud API</w:t>
      </w:r>
    </w:p>
    <w:p>
      <w:pPr>
        <w:pStyle w:val="Heading1"/>
      </w:pPr>
      <w:r>
        <w:rPr>
          <w:rFonts w:ascii="Arial" w:cs="Arial" w:eastAsia="Arial" w:hAnsi="Arial"/>
        </w:rPr>
        <w:t xml:space="preserve">9. Conclusion: Lessons from Four Pivots</w:t>
      </w:r>
    </w:p>
    <w:p>
      <w:pPr>
        <w:spacing w:after="200"/>
      </w:pPr>
      <w:r>
        <w:rPr>
          <w:rFonts w:ascii="Arial" w:cs="Arial" w:eastAsia="Arial" w:hAnsi="Arial"/>
          <w:sz w:val="24"/>
          <w:szCs w:val="24"/>
        </w:rPr>
        <w:t xml:space="preserve">The TutorClaw architecture journey required four pivots, each driven by a specific discovery:</w:t>
      </w:r>
    </w:p>
    <w:p>
      <w:pPr>
        <w:spacing w:after="200"/>
      </w:pPr>
      <w:r>
        <w:rPr>
          <w:rFonts w:ascii="Arial" w:cs="Arial" w:eastAsia="Arial" w:hAnsi="Arial"/>
          <w:sz w:val="24"/>
          <w:szCs w:val="24"/>
        </w:rPr>
        <w:t xml:space="preserve"/>
      </w:r>
      <w:r>
        <w:rPr>
          <w:rFonts w:ascii="Arial" w:cs="Arial" w:eastAsia="Arial" w:hAnsi="Arial"/>
          <w:b/>
          <w:bCs/>
          <w:sz w:val="24"/>
          <w:szCs w:val="24"/>
        </w:rPr>
        <w:t xml:space="preserve">Pivot 1 (OpenClaw → OpenClaw + Claude):</w:t>
      </w:r>
      <w:r>
        <w:rPr>
          <w:rFonts w:ascii="Arial" w:cs="Arial" w:eastAsia="Arial" w:hAnsi="Arial"/>
          <w:sz w:val="24"/>
          <w:szCs w:val="24"/>
        </w:rPr>
        <w:t xml:space="preserve"> Don’t confuse the agent runtime with the model. Don’t stack SDKs redundantly. Use the simplest architecture that works.</w:t>
      </w:r>
    </w:p>
    <w:p>
      <w:pPr>
        <w:spacing w:after="200"/>
      </w:pPr>
      <w:r>
        <w:rPr>
          <w:rFonts w:ascii="Arial" w:cs="Arial" w:eastAsia="Arial" w:hAnsi="Arial"/>
          <w:sz w:val="24"/>
          <w:szCs w:val="24"/>
        </w:rPr>
        <w:t xml:space="preserve"/>
      </w:r>
      <w:r>
        <w:rPr>
          <w:rFonts w:ascii="Arial" w:cs="Arial" w:eastAsia="Arial" w:hAnsi="Arial"/>
          <w:b/>
          <w:bCs/>
          <w:sz w:val="24"/>
          <w:szCs w:val="24"/>
        </w:rPr>
        <w:t xml:space="preserve">Pivot 2 (OpenClaw → Custom Architecture):</w:t>
      </w:r>
      <w:r>
        <w:rPr>
          <w:rFonts w:ascii="Arial" w:cs="Arial" w:eastAsia="Arial" w:hAnsi="Arial"/>
          <w:sz w:val="24"/>
          <w:szCs w:val="24"/>
        </w:rPr>
        <w:t xml:space="preserve"> Personal agent ≠ platform product. OpenClaw’s single-tenant security model cannot serve multi-tenant educational delivery. The WhatsApp Business Cloud API replaces Baileys for scale.</w:t>
      </w:r>
    </w:p>
    <w:p>
      <w:pPr>
        <w:spacing w:after="200"/>
      </w:pPr>
      <w:r>
        <w:rPr>
          <w:rFonts w:ascii="Arial" w:cs="Arial" w:eastAsia="Arial" w:hAnsi="Arial"/>
          <w:sz w:val="24"/>
          <w:szCs w:val="24"/>
        </w:rPr>
        <w:t xml:space="preserve"/>
      </w:r>
      <w:r>
        <w:rPr>
          <w:rFonts w:ascii="Arial" w:cs="Arial" w:eastAsia="Arial" w:hAnsi="Arial"/>
          <w:b/>
          <w:bCs/>
          <w:sz w:val="24"/>
          <w:szCs w:val="24"/>
        </w:rPr>
        <w:t xml:space="preserve">Pivot 3 (Custom Architecture → NanoClaw-Native):</w:t>
      </w:r>
      <w:r>
        <w:rPr>
          <w:rFonts w:ascii="Arial" w:cs="Arial" w:eastAsia="Arial" w:hAnsi="Arial"/>
          <w:sz w:val="24"/>
          <w:szCs w:val="24"/>
        </w:rPr>
        <w:t xml:space="preserve"> Container-per-learner isolation is architecturally superior to shared-process session management. NanoClaw provides this out of the box. Claude Code Router solves NanoClaw’s Claude-only limitation without modifying NanoClaw’s source code.</w:t>
      </w:r>
    </w:p>
    <w:p>
      <w:pPr>
        <w:spacing w:after="200"/>
      </w:pPr>
      <w:r>
        <w:rPr>
          <w:rFonts w:ascii="Arial" w:cs="Arial" w:eastAsia="Arial" w:hAnsi="Arial"/>
          <w:sz w:val="24"/>
          <w:szCs w:val="24"/>
        </w:rPr>
        <w:t xml:space="preserve"/>
      </w:r>
      <w:r>
        <w:rPr>
          <w:rFonts w:ascii="Arial" w:cs="Arial" w:eastAsia="Arial" w:hAnsi="Arial"/>
          <w:b/>
          <w:bCs/>
          <w:sz w:val="24"/>
          <w:szCs w:val="24"/>
        </w:rPr>
        <w:t xml:space="preserve">Pivot 4 (Infrastructure Choice):</w:t>
      </w:r>
      <w:r>
        <w:rPr>
          <w:rFonts w:ascii="Arial" w:cs="Arial" w:eastAsia="Arial" w:hAnsi="Arial"/>
          <w:sz w:val="24"/>
          <w:szCs w:val="24"/>
        </w:rPr>
        <w:t xml:space="preserve"> The LLM is 90% of cost, infrastructure is 10%. Choose infrastructure for product quality (resume latency, state preservation), not cost. Start simple (Cloud Run), improve experience (Fly.io Sprites), scale with control (GKE Pod Snapshots), and build toward portability (CRIU).</w:t>
      </w:r>
    </w:p>
    <w:p>
      <w:pPr>
        <w:spacing w:after="200"/>
      </w:pPr>
      <w:r>
        <w:rPr>
          <w:rFonts w:ascii="Arial" w:cs="Arial" w:eastAsia="Arial" w:hAnsi="Arial"/>
          <w:sz w:val="24"/>
          <w:szCs w:val="24"/>
        </w:rPr>
        <w:t xml:space="preserve">The overarching lesson: </w:t>
      </w:r>
      <w:r>
        <w:rPr>
          <w:rFonts w:ascii="Arial" w:cs="Arial" w:eastAsia="Arial" w:hAnsi="Arial"/>
          <w:b/>
          <w:bCs/>
          <w:sz w:val="24"/>
          <w:szCs w:val="24"/>
        </w:rPr>
        <w:t xml:space="preserve">the intelligence is in the context engineering, not in the framework.</w:t>
      </w:r>
      <w:r>
        <w:rPr>
          <w:rFonts w:ascii="Arial" w:cs="Arial" w:eastAsia="Arial" w:hAnsi="Arial"/>
          <w:sz w:val="24"/>
          <w:szCs w:val="24"/>
        </w:rPr>
        <w:t xml:space="preserve"> TutorClaw’s competitive moat is the PHPM/PRIMM-AI+ framework, the Verification Ladder, the Error Taxonomy, and the 30-chapter curriculum. OpenRouter, Stripe, NanoClaw, Kubernetes—these are commodity infrastructure. The pedagogy is the IP. Build on commodities. Compete on intelligence.</w:t>
      </w:r>
    </w:p>
    <w:p>
      <w:pPr>
        <w:spacing w:after="200"/>
      </w:pPr>
      <w:r>
        <w:rPr>
          <w:rFonts w:ascii="Arial" w:cs="Arial" w:eastAsia="Arial" w:hAnsi="Arial"/>
          <w:sz w:val="24"/>
          <w:szCs w:val="24"/>
        </w:rPr>
        <w:t xml:space="preserve">TutorClaw itself is the Agent Factory thesis made manifest: a Digital FTE that generates revenue by teaching. NanoClaw is the Body, Claude Code Router gives it multi-model intelligence, Stripe gives it a wallet, and WhatsApp gives it a voice. From one container on a student’s laptop to a thousand containers in the cloud—that is the Agent Factory in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TutorClaw NanoClaw-Native Architecture | Panaversity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2026-03-18T04:00:16.223Z</dcterms:created>
  <dcterms:modified xsi:type="dcterms:W3CDTF">2026-03-18T04:00:16.224Z</dcterms:modified>
</cp:coreProperties>
</file>

<file path=docProps/custom.xml><?xml version="1.0" encoding="utf-8"?>
<Properties xmlns="http://schemas.openxmlformats.org/officeDocument/2006/custom-properties" xmlns:vt="http://schemas.openxmlformats.org/officeDocument/2006/docPropsVTypes"/>
</file>