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888888"/>
          <w:sz w:val="28"/>
          <w:szCs w:val="28"/>
        </w:rPr>
        <w:t xml:space="preserve">The AI Agent Factory — Part 5: Building the Agent Factory</w:t>
      </w:r>
    </w:p>
    <w:p>
      <w:pPr>
        <w:spacing w:after="100"/>
      </w:pPr>
    </w:p>
    <w:p>
      <w:pPr>
        <w:spacing w:after="200"/>
        <w:jc w:val="center"/>
      </w:pPr>
      <w:r>
        <w:rPr>
          <w:rFonts w:ascii="Arial" w:cs="Arial" w:eastAsia="Arial" w:hAnsi="Arial"/>
          <w:b/>
          <w:bCs/>
          <w:color w:val="1B3A5C"/>
          <w:sz w:val="72"/>
          <w:szCs w:val="72"/>
        </w:rPr>
        <w:t xml:space="preserve">Architecture Decisions</w:t>
      </w:r>
    </w:p>
    <w:p>
      <w:pPr>
        <w:spacing w:after="200"/>
        <w:jc w:val="center"/>
      </w:pPr>
      <w:r>
        <w:rPr>
          <w:rFonts w:ascii="Arial" w:cs="Arial" w:eastAsia="Arial" w:hAnsi="Arial"/>
          <w:b/>
          <w:bCs/>
          <w:color w:val="1B3A5C"/>
          <w:sz w:val="72"/>
          <w:szCs w:val="72"/>
        </w:rPr>
        <w:t xml:space="preserve">in the Real World</w:t>
      </w:r>
    </w:p>
    <w:p>
      <w:pPr>
        <w:spacing w:after="200"/>
        <w:jc w:val="center"/>
      </w:pPr>
      <w:r>
        <w:rPr>
          <w:rFonts w:ascii="Arial" w:cs="Arial" w:eastAsia="Arial" w:hAnsi="Arial"/>
          <w:color w:val="444444"/>
          <w:sz w:val="28"/>
          <w:szCs w:val="28"/>
        </w:rPr>
        <w:t xml:space="preserve">What We Shipped, What We Learned, and When We Migrated</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2E75B6"/>
          <w:sz w:val="24"/>
          <w:szCs w:val="24"/>
        </w:rPr>
        <w:t xml:space="preserve">agentfactory.panaversity.org</w:t>
      </w:r>
    </w:p>
    <w:p>
      <w:r>
        <w:br w:type="page"/>
      </w:r>
    </w:p>
    <w:p>
      <w:pPr>
        <w:pStyle w:val="Heading1"/>
      </w:pPr>
      <w:r>
        <w:rPr>
          <w:rFonts w:ascii="Arial" w:cs="Arial" w:eastAsia="Arial" w:hAnsi="Arial"/>
        </w:rPr>
        <w:t xml:space="preserve">Chapter Introduction</w:t>
      </w:r>
    </w:p>
    <w:p>
      <w:pPr>
        <w:spacing w:after="200"/>
      </w:pPr>
      <w:r>
        <w:rPr>
          <w:rFonts w:ascii="Arial" w:cs="Arial" w:eastAsia="Arial" w:hAnsi="Arial"/>
          <w:i/>
          <w:iCs/>
          <w:sz w:val="24"/>
          <w:szCs w:val="24"/>
        </w:rPr>
        <w:t xml:space="preserve">“Plans are useless, but planning is indispensable.” — Dwight D. Eisenhower</w:t>
      </w:r>
    </w:p>
    <w:p>
      <w:pPr>
        <w:spacing w:after="100"/>
      </w:pPr>
    </w:p>
    <w:p>
      <w:pPr>
        <w:spacing w:after="200"/>
      </w:pPr>
      <w:r>
        <w:rPr>
          <w:rFonts w:ascii="Arial" w:cs="Arial" w:eastAsia="Arial" w:hAnsi="Arial"/>
          <w:sz w:val="24"/>
          <w:szCs w:val="24"/>
        </w:rPr>
        <w:t xml:space="preserve">Most technical books present architecture as a clean diagram on a whiteboard. You see the final design—boxes, arrows, labels—and it looks inevitable, as if the authors sat down, thought hard, and produced the correct answer on the first try.</w:t>
      </w:r>
    </w:p>
    <w:p>
      <w:pPr>
        <w:spacing w:after="200"/>
      </w:pPr>
      <w:r>
        <w:rPr>
          <w:rFonts w:ascii="Arial" w:cs="Arial" w:eastAsia="Arial" w:hAnsi="Arial"/>
          <w:sz w:val="24"/>
          <w:szCs w:val="24"/>
        </w:rPr>
        <w:t xml:space="preserve">That is not how real products are built.</w:t>
      </w:r>
    </w:p>
    <w:p>
      <w:pPr>
        <w:spacing w:after="200"/>
      </w:pPr>
      <w:r>
        <w:rPr>
          <w:rFonts w:ascii="Arial" w:cs="Arial" w:eastAsia="Arial" w:hAnsi="Arial"/>
          <w:sz w:val="24"/>
          <w:szCs w:val="24"/>
        </w:rPr>
        <w:t xml:space="preserve">TutorClaw, the 24/7 AI tutor you have been building throughout this book, went through five major architectural pivots before reaching its final form. Each pivot was driven by a specific discovery—a technical limitation, an economic constraint, a pedagogical insight, or a timing reality that invalidated the previous design. At no point did we have perfect information. At every point, we made the best decision we could with what we knew, shipped it, and learned.</w:t>
      </w:r>
    </w:p>
    <w:p>
      <w:pPr>
        <w:spacing w:after="200"/>
      </w:pPr>
      <w:r>
        <w:rPr>
          <w:rFonts w:ascii="Arial" w:cs="Arial" w:eastAsia="Arial" w:hAnsi="Arial"/>
          <w:sz w:val="24"/>
          <w:szCs w:val="24"/>
        </w:rPr>
        <w:t xml:space="preserve">This chapter documents the full deliberative journey: every architecture we considered, every dead end we identified, and the reasoning behind each decision. If the previous chapters taught you how to build agents, this chapter teaches you how to think about building agents—how to make architectural decisions under uncertainty, when to ship and when to redesign, and how to structure a system so that today’s decisions do not become tomorrow’s regrets.</w:t>
      </w:r>
    </w:p>
    <w:p>
      <w:pPr>
        <w:pStyle w:val="Heading1"/>
      </w:pPr>
      <w:r>
        <w:rPr>
          <w:rFonts w:ascii="Arial" w:cs="Arial" w:eastAsia="Arial" w:hAnsi="Arial"/>
        </w:rPr>
        <w:t xml:space="preserve">1. The Five Pivots</w:t>
      </w:r>
    </w:p>
    <w:p>
      <w:pPr>
        <w:spacing w:after="200"/>
      </w:pPr>
      <w:r>
        <w:rPr>
          <w:rFonts w:ascii="Arial" w:cs="Arial" w:eastAsia="Arial" w:hAnsi="Arial"/>
          <w:sz w:val="24"/>
          <w:szCs w:val="24"/>
        </w:rPr>
        <w:t xml:space="preserve">Before we explore each pivot in depth, here is the sequence. Each row represents a moment where we had a design, discovered a problem, and changed direction: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500"/>
        <w:gridCol w:w="3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Pivot</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architecture (just an idea)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Claude + Skills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GTC 2026: Jensen Huang declares OpenClaw the next 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Claude Agent SDK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native runtime + Claude models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Realized Agent SDKs are redundant inside OpenClaw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as foundation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Brain + WhatsApp Cloud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cannot serve multi-tenant at scale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Brain (shared process)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NanoClaw-native (container-per-learner)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NanoClaw offers OS-level isolation + code execution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1 or 2 (pick 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ship Arch 1, teach Arch 2, migrate when justified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goals have three different timelines</w:t>
            </w:r>
          </w:p>
        </w:tc>
      </w:tr>
    </w:tbl>
    <w:p>
      <w:pPr>
        <w:spacing w:after="100"/>
      </w:pPr>
    </w:p>
    <w:p>
      <w:pPr>
        <w:spacing w:after="200"/>
      </w:pPr>
      <w:r>
        <w:rPr>
          <w:rFonts w:ascii="Arial" w:cs="Arial" w:eastAsia="Arial" w:hAnsi="Arial"/>
          <w:sz w:val="24"/>
          <w:szCs w:val="24"/>
        </w:rPr>
        <w:t xml:space="preserve">Notice that each pivot preserved the work from the previous stage. The PRIMM-AI+ system prompts survived every pivot. The tiered model routing survived every pivot. The Stripe billing survived every pivot. The WhatsApp Cloud API integration survived from Pivot 3 onward. Good architecture is not about getting it right the first time—it is about structuring your decisions so that each layer can be replaced without destroying the others.</w:t>
      </w:r>
    </w:p>
    <w:p>
      <w:pPr>
        <w:pStyle w:val="Heading1"/>
      </w:pPr>
      <w:r>
        <w:rPr>
          <w:rFonts w:ascii="Arial" w:cs="Arial" w:eastAsia="Arial" w:hAnsi="Arial"/>
        </w:rPr>
        <w:t xml:space="preserve">2. Pivot 1: The OpenClaw Moment</w:t>
      </w:r>
    </w:p>
    <w:p>
      <w:pPr>
        <w:spacing w:after="200"/>
      </w:pPr>
      <w:r>
        <w:rPr>
          <w:rFonts w:ascii="Arial" w:cs="Arial" w:eastAsia="Arial" w:hAnsi="Arial"/>
          <w:sz w:val="24"/>
          <w:szCs w:val="24"/>
        </w:rPr>
        <w:t xml:space="preserve">On March 16, 2026, NVIDIA CEO Jensen Huang declared OpenClaw “the most popular open-source project in the history of humanity” and compared it to Windows for personal computing. OpenAI’s Sam Altman backed it. NVIDIA released NemoClaw, an enterprise version. The hype was real.</w:t>
      </w:r>
    </w:p>
    <w:p>
      <w:pPr>
        <w:spacing w:after="200"/>
      </w:pPr>
      <w:r>
        <w:rPr>
          <w:rFonts w:ascii="Arial" w:cs="Arial" w:eastAsia="Arial" w:hAnsi="Arial"/>
          <w:sz w:val="24"/>
          <w:szCs w:val="24"/>
        </w:rPr>
        <w:t xml:space="preserve">OpenClaw’s architecture mapped directly to our Body+Brain pattern. Its Markdown-based skills system matched our SKILL.md approach. The initial plan was simple: package PRIMM-AI+ as an OpenClaw skill, connect to WhatsApp, plug in Claude as the LLM. Done.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Hype is not architecture. OpenClaw was brilliant for personal assistants, but we had not yet tested it against our specific constraints: 16,000 learners, zero-friction onboarding, multi-tenant security. The excitement of GTC made us start with the platform rather than starting with the requirements.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for your projects:</w:t>
      </w:r>
      <w:r>
        <w:rPr>
          <w:rFonts w:ascii="Arial" w:cs="Arial" w:eastAsia="Arial" w:hAnsi="Arial"/>
          <w:sz w:val="24"/>
          <w:szCs w:val="24"/>
        </w:rPr>
        <w:t xml:space="preserve"> When a shiny new technology appears, ask: “What specific problem does this solve for my specific users?” before asking “How do I integrate this?”</w:t>
      </w:r>
    </w:p>
    <w:p>
      <w:pPr>
        <w:pStyle w:val="Heading1"/>
      </w:pPr>
      <w:r>
        <w:rPr>
          <w:rFonts w:ascii="Arial" w:cs="Arial" w:eastAsia="Arial" w:hAnsi="Arial"/>
        </w:rPr>
        <w:t xml:space="preserve">3. Pivot 2: The SDK Confusion</w:t>
      </w:r>
    </w:p>
    <w:p>
      <w:pPr>
        <w:spacing w:after="200"/>
      </w:pPr>
      <w:r>
        <w:rPr>
          <w:rFonts w:ascii="Arial" w:cs="Arial" w:eastAsia="Arial" w:hAnsi="Arial"/>
          <w:sz w:val="24"/>
          <w:szCs w:val="24"/>
        </w:rPr>
        <w:t xml:space="preserve">The next question was: should TutorClaw use the Claude Agent SDK, the OpenAI Agents SDK, or OpenClaw’s native agent runtime as its Brain?</w:t>
      </w:r>
    </w:p>
    <w:p>
      <w:pPr>
        <w:spacing w:after="200"/>
      </w:pPr>
      <w:r>
        <w:rPr>
          <w:rFonts w:ascii="Arial" w:cs="Arial" w:eastAsia="Arial" w:hAnsi="Arial"/>
          <w:sz w:val="24"/>
          <w:szCs w:val="24"/>
        </w:rPr>
        <w:t xml:space="preserve">This question revealed a common confusion in the industry: conflating three distinct layers. The LLM (Claude, GPT) is the raw intelligence. The Agent Runtime (OpenClaw’s built-in loop) is the orchestration. The Agent SDK (Claude Agent SDK, OpenAI Agents SDK) is a framework for building runtimes.</w:t>
      </w:r>
    </w:p>
    <w:p>
      <w:pPr>
        <w:spacing w:after="200"/>
      </w:pPr>
      <w:r>
        <w:rPr>
          <w:rFonts w:ascii="Arial" w:cs="Arial" w:eastAsia="Arial" w:hAnsi="Arial"/>
          <w:sz w:val="24"/>
          <w:szCs w:val="24"/>
        </w:rPr>
        <w:t xml:space="preserve">If you use OpenClaw, you already have a runtime. Plugging an Agent SDK into OpenClaw means running an agent loop inside an agent loop—redundant and wasteful. The Claude Agent SDK gives agents a computer (bash, file editing, code execution); our tutor needed pedagogical orchestration, not bash access. The OpenAI Agents SDK’s multi-agent Handoffs were interesting but unnecessary when OpenClaw provided everything we needed.</w:t>
      </w:r>
    </w:p>
    <w:p>
      <w:pPr>
        <w:spacing w:after="200"/>
      </w:pPr>
      <w:r>
        <w:rPr>
          <w:rFonts w:ascii="Arial" w:cs="Arial" w:eastAsia="Arial" w:hAnsi="Arial"/>
          <w:sz w:val="24"/>
          <w:szCs w:val="24"/>
        </w:rPr>
        <w:t xml:space="preserve"/>
      </w:r>
      <w:r>
        <w:rPr>
          <w:rFonts w:ascii="Arial" w:cs="Arial" w:eastAsia="Arial" w:hAnsi="Arial"/>
          <w:b/>
          <w:bCs/>
          <w:sz w:val="24"/>
          <w:szCs w:val="24"/>
        </w:rPr>
        <w:t xml:space="preserve">Decision:</w:t>
      </w:r>
      <w:r>
        <w:rPr>
          <w:rFonts w:ascii="Arial" w:cs="Arial" w:eastAsia="Arial" w:hAnsi="Arial"/>
          <w:sz w:val="24"/>
          <w:szCs w:val="24"/>
        </w:rPr>
        <w:t xml:space="preserve"> Use OpenClaw’s native runtime with Claude as the model and custom Skills for pedagogy. Simplest possible architecture.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When evaluating tools, identify which layer each tool operates at. Don’t stack tools at the same layer. The most common architectural mistake in agentic AI is running an agent framework inside another agent framework.</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for your projects:</w:t>
      </w:r>
      <w:r>
        <w:rPr>
          <w:rFonts w:ascii="Arial" w:cs="Arial" w:eastAsia="Arial" w:hAnsi="Arial"/>
          <w:sz w:val="24"/>
          <w:szCs w:val="24"/>
        </w:rPr>
        <w:t xml:space="preserve"> Draw your architecture as layers. If two tools occupy the same layer, pick one. If they occupy different layers, they compose.</w:t>
      </w:r>
    </w:p>
    <w:p>
      <w:pPr>
        <w:pStyle w:val="Heading1"/>
      </w:pPr>
      <w:r>
        <w:rPr>
          <w:rFonts w:ascii="Arial" w:cs="Arial" w:eastAsia="Arial" w:hAnsi="Arial"/>
        </w:rPr>
        <w:t xml:space="preserve">4. Pivot 3: The Scale Wall</w:t>
      </w:r>
    </w:p>
    <w:p>
      <w:pPr>
        <w:spacing w:after="200"/>
      </w:pPr>
      <w:r>
        <w:rPr>
          <w:rFonts w:ascii="Arial" w:cs="Arial" w:eastAsia="Arial" w:hAnsi="Arial"/>
          <w:sz w:val="24"/>
          <w:szCs w:val="24"/>
        </w:rPr>
        <w:t xml:space="preserve">We needed 16,000 learners to click a button on the book’s website, enter their WhatsApp number, and start learning. No installation. No QR code.</w:t>
      </w:r>
    </w:p>
    <w:p>
      <w:pPr>
        <w:spacing w:after="200"/>
      </w:pPr>
      <w:r>
        <w:rPr>
          <w:rFonts w:ascii="Arial" w:cs="Arial" w:eastAsia="Arial" w:hAnsi="Arial"/>
          <w:sz w:val="24"/>
          <w:szCs w:val="24"/>
        </w:rPr>
        <w:t xml:space="preserve">OpenClaw’s security documentation destroyed this plan: “OpenClaw security guidance assumes a personal assistant deployment: one trusted operator boundary per gateway.” It connects to WhatsApp via Baileys (a reverse-engineered protocol limited to 4 linked devices per phone number with the phone required to stay online). The multi-tenant “Agents Plane” was a GitHub issue, not code.</w:t>
      </w:r>
    </w:p>
    <w:p>
      <w:pPr>
        <w:spacing w:after="200"/>
      </w:pPr>
      <w:r>
        <w:rPr>
          <w:rFonts w:ascii="Arial" w:cs="Arial" w:eastAsia="Arial" w:hAnsi="Arial"/>
          <w:sz w:val="24"/>
          <w:szCs w:val="24"/>
        </w:rPr>
        <w:t xml:space="preserve">We pivoted to a custom architecture: WhatsApp Business Cloud API (official Meta API, 500 messages/second, free for customer-initiated conversations) + a FastAPI Brain service calling OpenRouter directly + PostgreSQL for learner state + Stripe for billing.</w:t>
      </w:r>
    </w:p>
    <w:p>
      <w:pPr>
        <w:spacing w:after="200"/>
      </w:pPr>
      <w:r>
        <w:rPr>
          <w:rFonts w:ascii="Arial" w:cs="Arial" w:eastAsia="Arial" w:hAnsi="Arial"/>
          <w:sz w:val="24"/>
          <w:szCs w:val="24"/>
        </w:rPr>
        <w:t xml:space="preserve">This worked. It solved scale. But it introduced a weakness: all 16,000 learners share one application process. Isolation is in the code, not the OS. A session management bug could leak data between learners.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Always read the security documentation of the platform you’re building on. “It works for me” is not the same as “it works for 16,000 users.” The gap between personal-use architecture and production-platform architecture is almost always larger than you expect.</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for your projects:</w:t>
      </w:r>
      <w:r>
        <w:rPr>
          <w:rFonts w:ascii="Arial" w:cs="Arial" w:eastAsia="Arial" w:hAnsi="Arial"/>
          <w:sz w:val="24"/>
          <w:szCs w:val="24"/>
        </w:rPr>
        <w:t xml:space="preserve"> Test your architecture against your most demanding requirement first, not your typical case. If TutorClaw works for one learner but not for 16,000, knowing that on day one saves months of wasted work.</w:t>
      </w:r>
    </w:p>
    <w:p>
      <w:pPr>
        <w:pStyle w:val="Heading1"/>
      </w:pPr>
      <w:r>
        <w:rPr>
          <w:rFonts w:ascii="Arial" w:cs="Arial" w:eastAsia="Arial" w:hAnsi="Arial"/>
        </w:rPr>
        <w:t xml:space="preserve">5. Pivot 4: The NanoClaw Insight</w:t>
      </w:r>
    </w:p>
    <w:p>
      <w:pPr>
        <w:spacing w:after="200"/>
      </w:pPr>
      <w:r>
        <w:rPr>
          <w:rFonts w:ascii="Arial" w:cs="Arial" w:eastAsia="Arial" w:hAnsi="Arial"/>
          <w:sz w:val="24"/>
          <w:szCs w:val="24"/>
        </w:rPr>
        <w:t xml:space="preserve">NanoClaw appeared as a lightweight, security-first alternative to OpenClaw. Its core insight: each agent runs in its own Docker container with OS-level isolation. Its core codebase: ~700 lines of TypeScript vs. OpenClaw’s 400,000. Its foundation: Claude Agent SDK, with real code execution, file access, and tool use.</w:t>
      </w:r>
    </w:p>
    <w:p>
      <w:pPr>
        <w:spacing w:after="200"/>
      </w:pPr>
      <w:r>
        <w:rPr>
          <w:rFonts w:ascii="Arial" w:cs="Arial" w:eastAsia="Arial" w:hAnsi="Arial"/>
          <w:sz w:val="24"/>
          <w:szCs w:val="24"/>
        </w:rPr>
        <w:t xml:space="preserve">The architectural leap: from “one container per agent” to “one container per learner.” Each learner gets their own isolated tutor instance. The same container runs locally (students build their own TutorClaw) and in the cloud (production platform). NanoClaw’s Docker partnership adds MicroVM isolation on top.</w:t>
      </w:r>
    </w:p>
    <w:p>
      <w:pPr>
        <w:spacing w:after="200"/>
      </w:pPr>
      <w:r>
        <w:rPr>
          <w:rFonts w:ascii="Arial" w:cs="Arial" w:eastAsia="Arial" w:hAnsi="Arial"/>
          <w:sz w:val="24"/>
          <w:szCs w:val="24"/>
        </w:rPr>
        <w:t xml:space="preserve">But NanoClaw is Claude-only, which kills tiered model routing. The solution: Claude Code Router, a 27,800-star open-source proxy that intercepts Claude Agent SDK calls and routes them to any provider. NanoClaw containers think they talk to Claude; the Router decides the actual destination. Zero code changes to NanoClaw.</w:t>
      </w:r>
    </w:p>
    <w:p>
      <w:pPr>
        <w:spacing w:after="200"/>
      </w:pPr>
      <w:r>
        <w:rPr>
          <w:rFonts w:ascii="Arial" w:cs="Arial" w:eastAsia="Arial" w:hAnsi="Arial"/>
          <w:sz w:val="24"/>
          <w:szCs w:val="24"/>
        </w:rPr>
        <w:t xml:space="preserve">For container lifecycle at scale, four Kubernetes-native tools compose: ConfigMaps/Secrets (configuration), Agent Sandbox (security), Pod Snapshots (state management), and Kagent (monitoring). Alternatives to the GKE-specific Pod Snapshots include Fly.io Sprites (simplest), CRIU on any Kubernetes (most portable), and external state stores (universal fallback).</w:t>
      </w:r>
    </w:p>
    <w:p>
      <w:pPr>
        <w:spacing w:after="200"/>
      </w:pPr>
      <w:r>
        <w:rPr>
          <w:rFonts w:ascii="Arial" w:cs="Arial" w:eastAsia="Arial" w:hAnsi="Arial"/>
          <w:sz w:val="24"/>
          <w:szCs w:val="24"/>
        </w:rPr>
        <w:t xml:space="preserve">The economic analysis revealed the 90/10 rule: LLM costs ($12,000/month) represent 90% of total operating cost. The difference between the cheapest infrastructure ($200/month) and the most expensive ($1,600/month) is only 11% of total cost. Model routing strategy matters 10x more than infrastructure choice.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A better architecture is not always the right architecture for right now. NanoClaw-native is objectively more powerful (code execution, OS isolation, persistent state) but takes 2–4 months to build vs. 2–3 weeks for the Custom Brain. The engineering investment must be justified by the value it creates.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for your projects:</w:t>
      </w:r>
      <w:r>
        <w:rPr>
          <w:rFonts w:ascii="Arial" w:cs="Arial" w:eastAsia="Arial" w:hAnsi="Arial"/>
          <w:sz w:val="24"/>
          <w:szCs w:val="24"/>
        </w:rPr>
        <w:t xml:space="preserve"> When you find a better architecture, ask: “What does this better architecture cost me in time, and what do I lose by not shipping the simpler version today?” Better is the enemy of shipped.</w:t>
      </w:r>
    </w:p>
    <w:p>
      <w:pPr>
        <w:pStyle w:val="Heading1"/>
      </w:pPr>
      <w:r>
        <w:rPr>
          <w:rFonts w:ascii="Arial" w:cs="Arial" w:eastAsia="Arial" w:hAnsi="Arial"/>
        </w:rPr>
        <w:t xml:space="preserve">6. Pivot 5: The Hybrid Resolution</w:t>
      </w:r>
    </w:p>
    <w:p>
      <w:pPr>
        <w:spacing w:after="200"/>
      </w:pPr>
      <w:r>
        <w:rPr>
          <w:rFonts w:ascii="Arial" w:cs="Arial" w:eastAsia="Arial" w:hAnsi="Arial"/>
          <w:sz w:val="24"/>
          <w:szCs w:val="24"/>
        </w:rPr>
        <w:t xml:space="preserve">The final pivot recognized that TutorClaw serves three goals with three timelines: PIAIC needs tutoring now (weeks), the book needs to teach NanoClaw-native architecture (this quarter), and the product needs revenue data (ongoing).</w:t>
      </w:r>
    </w:p>
    <w:p>
      <w:pPr>
        <w:spacing w:after="200"/>
      </w:pPr>
      <w:r>
        <w:rPr>
          <w:rFonts w:ascii="Arial" w:cs="Arial" w:eastAsia="Arial" w:hAnsi="Arial"/>
          <w:sz w:val="24"/>
          <w:szCs w:val="24"/>
        </w:rPr>
        <w:t xml:space="preserve">No single architecture optimizes for all three. The Hybrid resolves this:</w:t>
      </w:r>
    </w:p>
    <w:p>
      <w:pPr>
        <w:spacing w:after="200"/>
      </w:pPr>
      <w:r>
        <w:rPr>
          <w:rFonts w:ascii="Arial" w:cs="Arial" w:eastAsia="Arial" w:hAnsi="Arial"/>
          <w:sz w:val="24"/>
          <w:szCs w:val="24"/>
        </w:rPr>
        <w:t xml:space="preserve"/>
      </w:r>
      <w:r>
        <w:rPr>
          <w:rFonts w:ascii="Arial" w:cs="Arial" w:eastAsia="Arial" w:hAnsi="Arial"/>
          <w:b/>
          <w:bCs/>
          <w:sz w:val="24"/>
          <w:szCs w:val="24"/>
        </w:rPr>
        <w:t xml:space="preserve">Track A (production):</w:t>
      </w:r>
      <w:r>
        <w:rPr>
          <w:rFonts w:ascii="Arial" w:cs="Arial" w:eastAsia="Arial" w:hAnsi="Arial"/>
          <w:sz w:val="24"/>
          <w:szCs w:val="24"/>
        </w:rPr>
        <w:t xml:space="preserve"> Ship the Custom Brain in 2–3 weeks. WhatsApp Cloud API + FastAPI + PostgreSQL + OpenRouter + Stripe. Accept the limitations. Collect product-market fit data: daily active learners, free-to-paid conversion rate, code execution demand, PRIMM-AI+ framework effectiveness.</w:t>
      </w:r>
    </w:p>
    <w:p>
      <w:pPr>
        <w:spacing w:after="200"/>
      </w:pPr>
      <w:r>
        <w:rPr>
          <w:rFonts w:ascii="Arial" w:cs="Arial" w:eastAsia="Arial" w:hAnsi="Arial"/>
          <w:sz w:val="24"/>
          <w:szCs w:val="24"/>
        </w:rPr>
        <w:t xml:space="preserve"/>
      </w:r>
      <w:r>
        <w:rPr>
          <w:rFonts w:ascii="Arial" w:cs="Arial" w:eastAsia="Arial" w:hAnsi="Arial"/>
          <w:b/>
          <w:bCs/>
          <w:sz w:val="24"/>
          <w:szCs w:val="24"/>
        </w:rPr>
        <w:t xml:space="preserve">Track B (book):</w:t>
      </w:r>
      <w:r>
        <w:rPr>
          <w:rFonts w:ascii="Arial" w:cs="Arial" w:eastAsia="Arial" w:hAnsi="Arial"/>
          <w:sz w:val="24"/>
          <w:szCs w:val="24"/>
        </w:rPr>
        <w:t xml:space="preserve"> Teach students to build TutorClaw Local using NanoClaw. Full code execution, persistent memory, container isolation, Claude Code Router. Each student runs their own tutor locally using their own API key. Cost to Panaversity: zero.</w:t>
      </w:r>
    </w:p>
    <w:p>
      <w:pPr>
        <w:spacing w:after="200"/>
      </w:pPr>
      <w:r>
        <w:rPr>
          <w:rFonts w:ascii="Arial" w:cs="Arial" w:eastAsia="Arial" w:hAnsi="Arial"/>
          <w:sz w:val="24"/>
          <w:szCs w:val="24"/>
        </w:rPr>
        <w:t xml:space="preserve"/>
      </w:r>
      <w:r>
        <w:rPr>
          <w:rFonts w:ascii="Arial" w:cs="Arial" w:eastAsia="Arial" w:hAnsi="Arial"/>
          <w:b/>
          <w:bCs/>
          <w:sz w:val="24"/>
          <w:szCs w:val="24"/>
        </w:rPr>
        <w:t xml:space="preserve">Migration decision (month 3–6):</w:t>
      </w:r>
      <w:r>
        <w:rPr>
          <w:rFonts w:ascii="Arial" w:cs="Arial" w:eastAsia="Arial" w:hAnsi="Arial"/>
          <w:sz w:val="24"/>
          <w:szCs w:val="24"/>
        </w:rPr>
        <w:t xml:space="preserve"> If data shows &gt;4,000 daily active learners, &gt;20% of interactions would benefit from code execution, &gt;5% free-to-paid conversion, and NanoClaw has matured—migrate production to NanoClaw-native. If not, stay on Architecture 1 and invest in better prompts.</w:t>
      </w:r>
    </w:p>
    <w:p>
      <w:pPr>
        <w:spacing w:after="200"/>
      </w:pPr>
      <w:r>
        <w:rPr>
          <w:rFonts w:ascii="Arial" w:cs="Arial" w:eastAsia="Arial" w:hAnsi="Arial"/>
          <w:sz w:val="24"/>
          <w:szCs w:val="24"/>
        </w:rPr>
        <w:t xml:space="preserve">The key insight: </w:t>
      </w:r>
      <w:r>
        <w:rPr>
          <w:rFonts w:ascii="Arial" w:cs="Arial" w:eastAsia="Arial" w:hAnsi="Arial"/>
          <w:b/>
          <w:bCs/>
          <w:sz w:val="24"/>
          <w:szCs w:val="24"/>
        </w:rPr>
        <w:t xml:space="preserve">Architecture 1’s components survive into Architecture 2.</w:t>
      </w:r>
      <w:r>
        <w:rPr>
          <w:rFonts w:ascii="Arial" w:cs="Arial" w:eastAsia="Arial" w:hAnsi="Arial"/>
          <w:sz w:val="24"/>
          <w:szCs w:val="24"/>
        </w:rPr>
        <w:t xml:space="preserve"> WhatsApp integration, Stripe billing, OpenRouter, PostgreSQL, PRIMM-AI+ prompts, and chapter content all carry over. The migration wraps the existing Brain inside NanoClaw containers and adds code execution and state persistence. It is not a rewrite—it is an upgrade.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When your goals have different timelines, don’t pick the architecture that optimizes for one goal. Run parallel tracks that converge when the data justifies convergence.</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for your projects:</w:t>
      </w:r>
      <w:r>
        <w:rPr>
          <w:rFonts w:ascii="Arial" w:cs="Arial" w:eastAsia="Arial" w:hAnsi="Arial"/>
          <w:sz w:val="24"/>
          <w:szCs w:val="24"/>
        </w:rPr>
        <w:t xml:space="preserve"> The best architecture is not the one that scores highest on a whiteboard evaluation. It is the one that ships, generates data, and positions you to upgrade when the data says you should.</w:t>
      </w:r>
    </w:p>
    <w:p>
      <w:pPr>
        <w:pStyle w:val="Heading1"/>
      </w:pPr>
      <w:r>
        <w:rPr>
          <w:rFonts w:ascii="Arial" w:cs="Arial" w:eastAsia="Arial" w:hAnsi="Arial"/>
        </w:rPr>
        <w:t xml:space="preserve">7. Seven Meta-Lessons from Five Pivots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1: Layers, not monoliths.</w:t>
      </w:r>
      <w:r>
        <w:rPr>
          <w:rFonts w:ascii="Arial" w:cs="Arial" w:eastAsia="Arial" w:hAnsi="Arial"/>
          <w:sz w:val="24"/>
          <w:szCs w:val="24"/>
        </w:rPr>
        <w:t xml:space="preserve"> Structure your system in layers where each layer can be replaced independently. Our messaging layer (WhatsApp Cloud API), intelligence layer (LLM via OpenRouter), orchestration layer (FastAPI or NanoClaw), storage layer (PostgreSQL), and billing layer (Stripe) are all independent. We replaced the orchestration layer (Pivot 3, Pivot 4) without touching any other layer.</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2: Ship before you optimize.</w:t>
      </w:r>
      <w:r>
        <w:rPr>
          <w:rFonts w:ascii="Arial" w:cs="Arial" w:eastAsia="Arial" w:hAnsi="Arial"/>
          <w:sz w:val="24"/>
          <w:szCs w:val="24"/>
        </w:rPr>
        <w:t xml:space="preserve"> Architecture 1 has real weaknesses (no code execution, no OS isolation). We shipped it anyway because a working tutor that teaches 16,000 learners imperfectly is infinitely more valuable than a perfect tutor that exists only in a design document. The data from shipping Architecture 1 will make Architecture 2 better than any amount of design thinking could.</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3: The model is 90% of your cost.</w:t>
      </w:r>
      <w:r>
        <w:rPr>
          <w:rFonts w:ascii="Arial" w:cs="Arial" w:eastAsia="Arial" w:hAnsi="Arial"/>
          <w:sz w:val="24"/>
          <w:szCs w:val="24"/>
        </w:rPr>
        <w:t xml:space="preserve"> Every infrastructure decision we agonized over (Fly.io vs. GKE vs. Cloud Run) affected only 10% of total cost. The decision to use DeepSeek for the free tier instead of Claude Sonnet saves more money per day than the entire monthly infrastructure bill. Spend your optimization energy on model routing, not container orchestration.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4: Security is a layer, not a feature.</w:t>
      </w:r>
      <w:r>
        <w:rPr>
          <w:rFonts w:ascii="Arial" w:cs="Arial" w:eastAsia="Arial" w:hAnsi="Arial"/>
          <w:sz w:val="24"/>
          <w:szCs w:val="24"/>
        </w:rPr>
        <w:t xml:space="preserve"> Architecture 1’s security depends on code correctness (“hope the session manager has no bugs”). Architecture 2’s security depends on OS isolation (“even if the agent misbehaves, the container boundary holds”). When you handle other people’s data, prefer architectural security over application security. But don’t let the perfect be the enemy of the shipped—ship Architecture 1 with careful code, then upgrade to Architecture 2 when the engineering investment is justified.</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5: Hype is not architecture.</w:t>
      </w:r>
      <w:r>
        <w:rPr>
          <w:rFonts w:ascii="Arial" w:cs="Arial" w:eastAsia="Arial" w:hAnsi="Arial"/>
          <w:sz w:val="24"/>
          <w:szCs w:val="24"/>
        </w:rPr>
        <w:t xml:space="preserve"> OpenClaw at GTC was the most exciting technology announcement of the month. It was also the wrong foundation for our product. Every pivot was driven by matching technology to requirements, not by following momentum.</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6: The book and the product inform each other.</w:t>
      </w:r>
      <w:r>
        <w:rPr>
          <w:rFonts w:ascii="Arial" w:cs="Arial" w:eastAsia="Arial" w:hAnsi="Arial"/>
          <w:sz w:val="24"/>
          <w:szCs w:val="24"/>
        </w:rPr>
        <w:t xml:space="preserve"> Teaching NanoClaw-native architecture in the book forced us to understand it deeply enough to evaluate it for production. Running Architecture 1 in production will generate the data that makes Architecture 2’s production deployment better. The two tracks are not independent—they are symbiotic.</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7: Document your decisions.</w:t>
      </w:r>
      <w:r>
        <w:rPr>
          <w:rFonts w:ascii="Arial" w:cs="Arial" w:eastAsia="Arial" w:hAnsi="Arial"/>
          <w:sz w:val="24"/>
          <w:szCs w:val="24"/>
        </w:rPr>
        <w:t xml:space="preserve"> This chapter exists because we documented every pivot as it happened, including the reasoning that later proved wrong. That documentation is more valuable than the final architecture diagram because it teaches the decision-making process, not just the decision. When your learners face their own architectural decisions, they will not have the same constraints as TutorClaw. But if they have internalized the process—identify requirements, evaluate options honestly, ship the minimum viable architecture, collect data, upgrade when justified—they can navigate any architectural landscape.</w:t>
      </w:r>
    </w:p>
    <w:p>
      <w:pPr>
        <w:pStyle w:val="Heading1"/>
      </w:pPr>
      <w:r>
        <w:rPr>
          <w:rFonts w:ascii="Arial" w:cs="Arial" w:eastAsia="Arial" w:hAnsi="Arial"/>
        </w:rPr>
        <w:t xml:space="preserve">8. Exercises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1: Architectural Autopsy.</w:t>
      </w:r>
      <w:r>
        <w:rPr>
          <w:rFonts w:ascii="Arial" w:cs="Arial" w:eastAsia="Arial" w:hAnsi="Arial"/>
          <w:sz w:val="24"/>
          <w:szCs w:val="24"/>
        </w:rPr>
        <w:t xml:space="preserve"> Choose a well-known software project (Kubernetes, Docker, Git, VS Code, or an open-source AI project). Research its architectural history. Identify at least three major pivots. For each pivot, document: what the architecture was before, what triggered the change, what the architecture became, and what survived from the previous design. Present your findings as a timeline similar to the Five Pivots table in this chapter.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2: The Requirements Test.</w:t>
      </w:r>
      <w:r>
        <w:rPr>
          <w:rFonts w:ascii="Arial" w:cs="Arial" w:eastAsia="Arial" w:hAnsi="Arial"/>
          <w:sz w:val="24"/>
          <w:szCs w:val="24"/>
        </w:rPr>
        <w:t xml:space="preserve"> Take the NanoClaw-native TutorClaw architecture (Architecture 2) and evaluate it against a completely different product: a customer support agent for an e-commerce company. Which components survive? Which need to be replaced? What new requirements emerge? Write a one-page architecture comparison.</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3: The Ship-or-Wait Decision.</w:t>
      </w:r>
      <w:r>
        <w:rPr>
          <w:rFonts w:ascii="Arial" w:cs="Arial" w:eastAsia="Arial" w:hAnsi="Arial"/>
          <w:sz w:val="24"/>
          <w:szCs w:val="24"/>
        </w:rPr>
        <w:t xml:space="preserve"> You are building an AI coding assistant. Architecture A uses direct API calls (ships in 2 weeks, no code execution). Architecture B uses NanoClaw containers (ships in 3 months, full code execution). Your potential user base is 500 developers. Write a one-page decision memo recommending Architecture A, B, or a Hybrid approach. Include the specific data points you would collect in Phase 1 to inform the migration decision.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4: Cost Modeling.</w:t>
      </w:r>
      <w:r>
        <w:rPr>
          <w:rFonts w:ascii="Arial" w:cs="Arial" w:eastAsia="Arial" w:hAnsi="Arial"/>
          <w:sz w:val="24"/>
          <w:szCs w:val="24"/>
        </w:rPr>
        <w:t xml:space="preserve"> Using the pricing data from the Economics Stack chapter, model the total cost (LLM + infrastructure) for an AI product with 1,000 users, 5,000 users, and 50,000 users across all four infrastructure options (Cloud Run, Fly.io Sprites, GKE Pod Snapshots, CRIU on self-managed K8s). At what user count does the infrastructure choice start to matter? At what user count does it exceed the LLM cost?</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5: Build Both.</w:t>
      </w:r>
      <w:r>
        <w:rPr>
          <w:rFonts w:ascii="Arial" w:cs="Arial" w:eastAsia="Arial" w:hAnsi="Arial"/>
          <w:sz w:val="24"/>
          <w:szCs w:val="24"/>
        </w:rPr>
        <w:t xml:space="preserve"> This is the capstone. Build TutorClaw Architecture 1 (Custom Brain: FastAPI + PostgreSQL + OpenRouter, using the PRIMM-AI+ system prompt from the book’s skills chapter). Then build TutorClaw Local (NanoClaw + Claude Agent SDK + the same PRIMM-AI+ skill). Compare: send the same five learner messages to both. Which produces better pedagogical responses? Where does Architecture 1 fail that Architecture 2 handles? Document your findings.</w:t>
      </w:r>
    </w:p>
    <w:p>
      <w:pPr>
        <w:pStyle w:val="Heading1"/>
      </w:pPr>
      <w:r>
        <w:rPr>
          <w:rFonts w:ascii="Arial" w:cs="Arial" w:eastAsia="Arial" w:hAnsi="Arial"/>
        </w:rPr>
        <w:t xml:space="preserve">9. Chapter Summary</w:t>
      </w:r>
    </w:p>
    <w:p>
      <w:pPr>
        <w:spacing w:after="200"/>
      </w:pPr>
      <w:r>
        <w:rPr>
          <w:rFonts w:ascii="Arial" w:cs="Arial" w:eastAsia="Arial" w:hAnsi="Arial"/>
          <w:sz w:val="24"/>
          <w:szCs w:val="24"/>
        </w:rPr>
        <w:t xml:space="preserve">Architecture in the real world is not a single decision—it is a sequence of decisions, each informed by the failures and successes of the previous one. TutorClaw went through five pivots, each driven by a specific discovery, and arrived at a Hybrid architecture that serves three goals simultaneously: production tutoring for 16,000 PIAIC learners (shipped fast on Architecture 1), deep technical education in this book (taught thoroughly via NanoClaw-native Architecture 2), and a sustainable business model (validated through data before committing to expensive infrastructure).</w:t>
      </w:r>
    </w:p>
    <w:p>
      <w:pPr>
        <w:spacing w:after="200"/>
      </w:pPr>
      <w:r>
        <w:rPr>
          <w:rFonts w:ascii="Arial" w:cs="Arial" w:eastAsia="Arial" w:hAnsi="Arial"/>
          <w:sz w:val="24"/>
          <w:szCs w:val="24"/>
        </w:rPr>
        <w:t xml:space="preserve">The seven meta-lessons—layers over monoliths, ship before you optimize, model costs dominate, security is a layer, hype is not architecture, book and product inform each other, and document your decisions—are not specific to TutorClaw. They apply to any AI product you will build.</w:t>
      </w:r>
    </w:p>
    <w:p>
      <w:pPr>
        <w:spacing w:after="200"/>
      </w:pPr>
      <w:r>
        <w:rPr>
          <w:rFonts w:ascii="Arial" w:cs="Arial" w:eastAsia="Arial" w:hAnsi="Arial"/>
          <w:sz w:val="24"/>
          <w:szCs w:val="24"/>
        </w:rPr>
        <w:t xml:space="preserve">The most important lesson is the simplest: </w:t>
      </w:r>
      <w:r>
        <w:rPr>
          <w:rFonts w:ascii="Arial" w:cs="Arial" w:eastAsia="Arial" w:hAnsi="Arial"/>
          <w:b/>
          <w:bCs/>
          <w:sz w:val="24"/>
          <w:szCs w:val="24"/>
        </w:rPr>
        <w:t xml:space="preserve">the best architecture is the one you ship, learn from, and improve.</w:t>
      </w:r>
      <w:r>
        <w:rPr>
          <w:rFonts w:ascii="Arial" w:cs="Arial" w:eastAsia="Arial" w:hAnsi="Arial"/>
          <w:sz w:val="24"/>
          <w:szCs w:val="24"/>
        </w:rPr>
        <w:t xml:space="preserve"> Not the one you design on a whiteboard and never deploy. Not the one that scores highest in a theoretical comparison. The one that puts your product in users’ hands, generates data, and positions you to make better decisions tomorrow than you could make today.</w:t>
      </w:r>
    </w:p>
    <w:p>
      <w:pPr>
        <w:spacing w:after="200"/>
      </w:pPr>
      <w:r>
        <w:rPr>
          <w:rFonts w:ascii="Arial" w:cs="Arial" w:eastAsia="Arial" w:hAnsi="Arial"/>
          <w:sz w:val="24"/>
          <w:szCs w:val="24"/>
        </w:rPr>
        <w:t xml:space="preserve">In the next chapter, we will build TutorClaw Architecture 1 from scratch—the FastAPI service, the PostgreSQL schema, the PRIMM-AI+ system prompt, the OpenRouter integration, and the Stripe billing. You will have a working AI tutor deployed to WhatsApp by the end of the chapter. And you will have the data collection infrastructure in place to know when it is time to migrate to Architecture 2.</w:t>
      </w:r>
    </w:p>
    <w:p>
      <w:pPr>
        <w:spacing w:after="200"/>
      </w:pPr>
      <w:r>
        <w:rPr>
          <w:rFonts w:ascii="Arial" w:cs="Arial" w:eastAsia="Arial" w:hAnsi="Arial"/>
          <w:sz w:val="24"/>
          <w:szCs w:val="24"/>
        </w:rPr>
        <w:t xml:space="preserve">Ship first. Learn always. Migrate when justified.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Agent Factory | Architecture Decisions in the Real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2026-03-18T04:26:16.593Z</dcterms:created>
  <dcterms:modified xsi:type="dcterms:W3CDTF">2026-03-18T04:26:16.594Z</dcterms:modified>
</cp:coreProperties>
</file>

<file path=docProps/custom.xml><?xml version="1.0" encoding="utf-8"?>
<Properties xmlns="http://schemas.openxmlformats.org/officeDocument/2006/custom-properties" xmlns:vt="http://schemas.openxmlformats.org/officeDocument/2006/docPropsVTypes"/>
</file>