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72"/>
          <w:szCs w:val="72"/>
        </w:rPr>
        <w:t xml:space="preserve">TutorClaw</w:t>
      </w:r>
    </w:p>
    <w:p>
      <w:pPr>
        <w:spacing w:after="100"/>
        <w:jc w:val="center"/>
      </w:pPr>
      <w:r>
        <w:rPr>
          <w:rFonts w:ascii="Arial" w:cs="Arial" w:eastAsia="Arial" w:hAnsi="Arial"/>
          <w:color w:val="444444"/>
          <w:sz w:val="36"/>
          <w:szCs w:val="36"/>
        </w:rPr>
        <w:t xml:space="preserve">The Hybrid Architecture</w:t>
      </w:r>
    </w:p>
    <w:p>
      <w:pPr>
        <w:spacing w:after="100"/>
        <w:jc w:val="center"/>
      </w:pPr>
      <w:r>
        <w:rPr>
          <w:rFonts w:ascii="Arial" w:cs="Arial" w:eastAsia="Arial" w:hAnsi="Arial"/>
          <w:color w:val="666666"/>
          <w:sz w:val="28"/>
          <w:szCs w:val="28"/>
        </w:rPr>
        <w:t xml:space="preserve">Ship Fast, Teach Deep, Migrate When Justified</w:t>
      </w:r>
    </w:p>
    <w:p>
      <w:pPr>
        <w:spacing w:after="100"/>
      </w:pPr>
    </w:p>
    <w:p>
      <w:pPr>
        <w:spacing w:after="100"/>
      </w:pPr>
    </w:p>
    <w:p>
      <w:pPr>
        <w:spacing w:after="100"/>
        <w:jc w:val="center"/>
      </w:pPr>
      <w:r>
        <w:rPr>
          <w:rFonts w:ascii="Arial" w:cs="Arial" w:eastAsia="Arial" w:hAnsi="Arial"/>
          <w:i/>
          <w:iCs/>
          <w:color w:val="666666"/>
          <w:sz w:val="28"/>
          <w:szCs w:val="28"/>
        </w:rPr>
        <w:t xml:space="preserve">Final Architecture Decision Paper</w:t>
      </w:r>
    </w:p>
    <w:p>
      <w:pPr>
        <w:spacing w:after="100"/>
      </w:pPr>
    </w:p>
    <w:p>
      <w:pPr>
        <w:spacing w:after="100"/>
      </w:pPr>
    </w:p>
    <w:p>
      <w:pPr>
        <w:spacing w:after="100"/>
      </w:pPr>
    </w:p>
    <w:p>
      <w:pPr>
        <w:jc w:val="center"/>
      </w:pPr>
      <w:r>
        <w:rPr>
          <w:rFonts w:ascii="Arial" w:cs="Arial" w:eastAsia="Arial" w:hAnsi="Arial"/>
          <w:b/>
          <w:bCs/>
          <w:sz w:val="28"/>
          <w:szCs w:val="28"/>
        </w:rPr>
        <w:t xml:space="preserve">Zia Khan</w:t>
      </w:r>
    </w:p>
    <w:p>
      <w:pPr>
        <w:jc w:val="center"/>
      </w:pPr>
      <w:r>
        <w:rPr>
          <w:rFonts w:ascii="Arial" w:cs="Arial" w:eastAsia="Arial" w:hAnsi="Arial"/>
          <w:color w:val="666666"/>
          <w:sz w:val="24"/>
          <w:szCs w:val="24"/>
        </w:rPr>
        <w:t xml:space="preserve">CEO, Panaversity | COO, PIAIC</w:t>
      </w:r>
    </w:p>
    <w:p>
      <w:pPr>
        <w:jc w:val="center"/>
      </w:pPr>
      <w:r>
        <w:rPr>
          <w:rFonts w:ascii="Arial" w:cs="Arial" w:eastAsia="Arial" w:hAnsi="Arial"/>
          <w:color w:val="888888"/>
          <w:sz w:val="22"/>
          <w:szCs w:val="22"/>
        </w:rPr>
        <w:t xml:space="preserve">Companion to The AI Agent Factory — agentfactory.panaversity.org</w:t>
      </w:r>
    </w:p>
    <w:p>
      <w:pPr>
        <w:jc w:val="center"/>
      </w:pPr>
      <w:r>
        <w:rPr>
          <w:rFonts w:ascii="Arial" w:cs="Arial" w:eastAsia="Arial" w:hAnsi="Arial"/>
          <w:color w:val="888888"/>
          <w:sz w:val="24"/>
          <w:szCs w:val="24"/>
        </w:rPr>
        <w:t xml:space="preserve">March 2026</w:t>
      </w:r>
    </w:p>
    <w:p>
      <w:r>
        <w:br w:type="page"/>
      </w:r>
    </w:p>
    <w:p>
      <w:pPr>
        <w:pStyle w:val="Heading1"/>
      </w:pPr>
      <w:r>
        <w:rPr>
          <w:rFonts w:ascii="Arial" w:cs="Arial" w:eastAsia="Arial" w:hAnsi="Arial"/>
        </w:rPr>
        <w:t xml:space="preserve">Abstract</w:t>
      </w:r>
    </w:p>
    <w:p>
      <w:pPr>
        <w:spacing w:after="200"/>
      </w:pPr>
      <w:r>
        <w:rPr>
          <w:rFonts w:ascii="Arial" w:cs="Arial" w:eastAsia="Arial" w:hAnsi="Arial"/>
          <w:sz w:val="24"/>
          <w:szCs w:val="24"/>
        </w:rPr>
        <w:t xml:space="preserve">This paper presents the final architecture decision for TutorClaw, a 24/7 AI personal teacher serving 16,000+ learners via WhatsApp. After evaluating two complete architectures—a Custom Brain service with direct LLM calls and a NanoClaw-native container-per-learner design—we conclude that neither is the correct choice in isolation. Instead, we recommend Architecture 3: the Hybrid, which ships the Custom Brain for immediate production use while teaching the NanoClaw-native architecture in the book, then migrates production to NanoClaw-native when product-market fit data justifies the investment. This paper documents the honest strengths and weaknesses of each approach and presents the decision framework that led to this conclusion.</w:t>
      </w:r>
    </w:p>
    <w:p>
      <w:r>
        <w:br w:type="page"/>
      </w:r>
    </w:p>
    <w:p>
      <w:pPr>
        <w:pStyle w:val="Heading1"/>
      </w:pPr>
      <w:r>
        <w:rPr>
          <w:rFonts w:ascii="Arial" w:cs="Arial" w:eastAsia="Arial" w:hAnsi="Arial"/>
        </w:rPr>
        <w:t xml:space="preserve">1. Three Goals, Three Timelines</w:t>
      </w:r>
    </w:p>
    <w:p>
      <w:pPr>
        <w:spacing w:after="200"/>
      </w:pPr>
      <w:r>
        <w:rPr>
          <w:rFonts w:ascii="Arial" w:cs="Arial" w:eastAsia="Arial" w:hAnsi="Arial"/>
          <w:sz w:val="24"/>
          <w:szCs w:val="24"/>
        </w:rPr>
        <w:t xml:space="preserve">TutorClaw exists at the intersection of three simultaneous demands, each with a different timeline:</w:t>
      </w:r>
    </w:p>
    <w:p>
      <w:pPr>
        <w:spacing w:after="200"/>
      </w:pPr>
      <w:r>
        <w:rPr>
          <w:rFonts w:ascii="Arial" w:cs="Arial" w:eastAsia="Arial" w:hAnsi="Arial"/>
          <w:sz w:val="24"/>
          <w:szCs w:val="24"/>
        </w:rPr>
        <w:t xml:space="preserve"/>
      </w:r>
      <w:r>
        <w:rPr>
          <w:rFonts w:ascii="Arial" w:cs="Arial" w:eastAsia="Arial" w:hAnsi="Arial"/>
          <w:b/>
          <w:bCs/>
          <w:sz w:val="24"/>
          <w:szCs w:val="24"/>
        </w:rPr>
        <w:t xml:space="preserve">Running an educational organization.</w:t>
      </w:r>
      <w:r>
        <w:rPr>
          <w:rFonts w:ascii="Arial" w:cs="Arial" w:eastAsia="Arial" w:hAnsi="Arial"/>
          <w:sz w:val="24"/>
          <w:szCs w:val="24"/>
        </w:rPr>
        <w:t xml:space="preserve"> PIAIC has 16,000+ learners who need tutoring now. Every week without TutorClaw is a week of missed learning. Timeline: this month.</w:t>
      </w:r>
    </w:p>
    <w:p>
      <w:pPr>
        <w:spacing w:after="200"/>
      </w:pPr>
      <w:r>
        <w:rPr>
          <w:rFonts w:ascii="Arial" w:cs="Arial" w:eastAsia="Arial" w:hAnsi="Arial"/>
          <w:sz w:val="24"/>
          <w:szCs w:val="24"/>
        </w:rPr>
        <w:t xml:space="preserve"/>
      </w:r>
      <w:r>
        <w:rPr>
          <w:rFonts w:ascii="Arial" w:cs="Arial" w:eastAsia="Arial" w:hAnsi="Arial"/>
          <w:b/>
          <w:bCs/>
          <w:sz w:val="24"/>
          <w:szCs w:val="24"/>
        </w:rPr>
        <w:t xml:space="preserve">Writing a book.</w:t>
      </w:r>
      <w:r>
        <w:rPr>
          <w:rFonts w:ascii="Arial" w:cs="Arial" w:eastAsia="Arial" w:hAnsi="Arial"/>
          <w:sz w:val="24"/>
          <w:szCs w:val="24"/>
        </w:rPr>
        <w:t xml:space="preserve"> The AI Agent Factory teaches NanoClaw-native architecture as the state of the art for building AI agents. The book needs to present a coherent, powerful architecture that students build chapter by chapter. Timeline: this quarter.</w:t>
      </w:r>
    </w:p>
    <w:p>
      <w:pPr>
        <w:spacing w:after="200"/>
      </w:pPr>
      <w:r>
        <w:rPr>
          <w:rFonts w:ascii="Arial" w:cs="Arial" w:eastAsia="Arial" w:hAnsi="Arial"/>
          <w:sz w:val="24"/>
          <w:szCs w:val="24"/>
        </w:rPr>
        <w:t xml:space="preserve"/>
      </w:r>
      <w:r>
        <w:rPr>
          <w:rFonts w:ascii="Arial" w:cs="Arial" w:eastAsia="Arial" w:hAnsi="Arial"/>
          <w:b/>
          <w:bCs/>
          <w:sz w:val="24"/>
          <w:szCs w:val="24"/>
        </w:rPr>
        <w:t xml:space="preserve">Building a product.</w:t>
      </w:r>
      <w:r>
        <w:rPr>
          <w:rFonts w:ascii="Arial" w:cs="Arial" w:eastAsia="Arial" w:hAnsi="Arial"/>
          <w:sz w:val="24"/>
          <w:szCs w:val="24"/>
        </w:rPr>
        <w:t xml:space="preserve"> TutorClaw needs to generate revenue through tiered subscriptions (free, PKR 500/month paid, PKR 3,000/month premium) to sustain itself. Revenue requires product-market fit data—which requires shipping. Timeline: this quarter, with data-driven iteration ongoing.</w:t>
      </w:r>
    </w:p>
    <w:p>
      <w:pPr>
        <w:spacing w:after="200"/>
      </w:pPr>
      <w:r>
        <w:rPr>
          <w:rFonts w:ascii="Arial" w:cs="Arial" w:eastAsia="Arial" w:hAnsi="Arial"/>
          <w:sz w:val="24"/>
          <w:szCs w:val="24"/>
        </w:rPr>
        <w:t xml:space="preserve">No single architecture optimizes for all three timelines. The Custom Brain ships fastest but lacks pedagogical power. The NanoClaw-native design is the best long-term architecture but takes months to build. The Hybrid serves all three by running them in parallel.</w:t>
      </w:r>
    </w:p>
    <w:p>
      <w:pPr>
        <w:pStyle w:val="Heading1"/>
      </w:pPr>
      <w:r>
        <w:rPr>
          <w:rFonts w:ascii="Arial" w:cs="Arial" w:eastAsia="Arial" w:hAnsi="Arial"/>
        </w:rPr>
        <w:t xml:space="preserve">2. Architecture 1: Custom Brain — Honest Assessment</w:t>
      </w:r>
    </w:p>
    <w:p>
      <w:pPr>
        <w:pStyle w:val="Heading2"/>
      </w:pPr>
      <w:r>
        <w:rPr>
          <w:rFonts w:ascii="Arial" w:cs="Arial" w:eastAsia="Arial" w:hAnsi="Arial"/>
        </w:rPr>
        <w:t xml:space="preserve">2.1 What It Is</w:t>
      </w:r>
    </w:p>
    <w:p>
      <w:pPr>
        <w:spacing w:after="200"/>
      </w:pPr>
      <w:r>
        <w:rPr>
          <w:rFonts w:ascii="Arial" w:cs="Arial" w:eastAsia="Arial" w:hAnsi="Arial"/>
          <w:sz w:val="24"/>
          <w:szCs w:val="24"/>
        </w:rPr>
        <w:t xml:space="preserve">A lightweight FastAPI or Node.js service that receives WhatsApp Business Cloud API webhooks, looks up learner state from PostgreSQL, assembles context (system prompt + learner state + chapter content + conversation history), calls OpenRouter directly with the appropriate model for the learner’s tier, and sends the response back via WhatsApp. No containers per learner. No NanoClaw. No Claude Agent SDK. Just well-crafted API calls with a Stripe integration for billing.</w:t>
      </w:r>
    </w:p>
    <w:p>
      <w:pPr>
        <w:pStyle w:val="Heading2"/>
      </w:pPr>
      <w:r>
        <w:rPr>
          <w:rFonts w:ascii="Arial" w:cs="Arial" w:eastAsia="Arial" w:hAnsi="Arial"/>
        </w:rPr>
        <w:t xml:space="preserve">2.2 Honest Strengths</w:t>
      </w:r>
    </w:p>
    <w:p>
      <w:pPr>
        <w:spacing w:after="200"/>
      </w:pPr>
      <w:r>
        <w:rPr>
          <w:rFonts w:ascii="Arial" w:cs="Arial" w:eastAsia="Arial" w:hAnsi="Arial"/>
          <w:sz w:val="24"/>
          <w:szCs w:val="24"/>
        </w:rPr>
        <w:t xml:space="preserve"/>
      </w:r>
      <w:r>
        <w:rPr>
          <w:rFonts w:ascii="Arial" w:cs="Arial" w:eastAsia="Arial" w:hAnsi="Arial"/>
          <w:b/>
          <w:bCs/>
          <w:sz w:val="24"/>
          <w:szCs w:val="24"/>
        </w:rPr>
        <w:t xml:space="preserve">Speed to market.</w:t>
      </w:r>
      <w:r>
        <w:rPr>
          <w:rFonts w:ascii="Arial" w:cs="Arial" w:eastAsia="Arial" w:hAnsi="Arial"/>
          <w:sz w:val="24"/>
          <w:szCs w:val="24"/>
        </w:rPr>
        <w:t xml:space="preserve"> You can build this in 2–3 weeks with a small team. The entire system is one service + one database + one API key + one Stripe account. Deployment is a single Cloud Run service or a $5 VPS.</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Operational simplicity.</w:t>
      </w:r>
      <w:r>
        <w:rPr>
          <w:rFonts w:ascii="Arial" w:cs="Arial" w:eastAsia="Arial" w:hAnsi="Arial"/>
          <w:sz w:val="24"/>
          <w:szCs w:val="24"/>
        </w:rPr>
        <w:t xml:space="preserve"> There are no containers to manage, no Kubernetes clusters, no Pod Snapshots, no Docker lifecycle. Debugging is straightforward—every interaction is a stateless request/response cycle with a database lookup.</w:t>
      </w:r>
    </w:p>
    <w:p>
      <w:pPr>
        <w:spacing w:after="200"/>
      </w:pPr>
      <w:r>
        <w:rPr>
          <w:rFonts w:ascii="Arial" w:cs="Arial" w:eastAsia="Arial" w:hAnsi="Arial"/>
          <w:sz w:val="24"/>
          <w:szCs w:val="24"/>
        </w:rPr>
        <w:t xml:space="preserve"/>
      </w:r>
      <w:r>
        <w:rPr>
          <w:rFonts w:ascii="Arial" w:cs="Arial" w:eastAsia="Arial" w:hAnsi="Arial"/>
          <w:b/>
          <w:bCs/>
          <w:sz w:val="24"/>
          <w:szCs w:val="24"/>
        </w:rPr>
        <w:t xml:space="preserve">Cost efficiency.</w:t>
      </w:r>
      <w:r>
        <w:rPr>
          <w:rFonts w:ascii="Arial" w:cs="Arial" w:eastAsia="Arial" w:hAnsi="Arial"/>
          <w:sz w:val="24"/>
          <w:szCs w:val="24"/>
        </w:rPr>
        <w:t xml:space="preserve"> Total infrastructure cost is $200–300/month. Multi-model routing is native (you call OpenRouter directly, no Claude Code Router shim needed). Stripe Token Billing integrates cleanly.</w:t>
      </w:r>
    </w:p>
    <w:p>
      <w:pPr>
        <w:spacing w:after="200"/>
      </w:pPr>
      <w:r>
        <w:rPr>
          <w:rFonts w:ascii="Arial" w:cs="Arial" w:eastAsia="Arial" w:hAnsi="Arial"/>
          <w:sz w:val="24"/>
          <w:szCs w:val="24"/>
        </w:rPr>
        <w:t xml:space="preserve"/>
      </w:r>
      <w:r>
        <w:rPr>
          <w:rFonts w:ascii="Arial" w:cs="Arial" w:eastAsia="Arial" w:hAnsi="Arial"/>
          <w:b/>
          <w:bCs/>
          <w:sz w:val="24"/>
          <w:szCs w:val="24"/>
        </w:rPr>
        <w:t xml:space="preserve">Small codebase.</w:t>
      </w:r>
      <w:r>
        <w:rPr>
          <w:rFonts w:ascii="Arial" w:cs="Arial" w:eastAsia="Arial" w:hAnsi="Arial"/>
          <w:sz w:val="24"/>
          <w:szCs w:val="24"/>
        </w:rPr>
        <w:t xml:space="preserve"> The entire system might be 2,000–3,000 lines of Python. Any developer on your team can understand, debug, and modify it.</w:t>
      </w:r>
    </w:p>
    <w:p>
      <w:pPr>
        <w:pStyle w:val="Heading2"/>
      </w:pPr>
      <w:r>
        <w:rPr>
          <w:rFonts w:ascii="Arial" w:cs="Arial" w:eastAsia="Arial" w:hAnsi="Arial"/>
        </w:rPr>
        <w:t xml:space="preserve">2.3 Honest Weaknesses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No code execution.</w:t>
      </w:r>
      <w:r>
        <w:rPr>
          <w:rFonts w:ascii="Arial" w:cs="Arial" w:eastAsia="Arial" w:hAnsi="Arial"/>
          <w:sz w:val="24"/>
          <w:szCs w:val="24"/>
        </w:rPr>
        <w:t xml:space="preserve"> The tutor can only generate text responses. If a student pastes Python code and says “run this and tell me what’s wrong,” the tutor can only read the code and guess at errors. It cannot actually execute the code, see the traceback, and explain the specific failure. For an AI-native development curriculum, this is a meaningful pedagogical limitation.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Cold start on every message.</w:t>
      </w:r>
      <w:r>
        <w:rPr>
          <w:rFonts w:ascii="Arial" w:cs="Arial" w:eastAsia="Arial" w:hAnsi="Arial"/>
          <w:sz w:val="24"/>
          <w:szCs w:val="24"/>
        </w:rPr>
        <w:t xml:space="preserve"> The tutor rebuilds context from the database on every interaction: 2–5 seconds to look up learner state, assemble the prompt, and wait for the first token. There is no persistent in-process state. The agent starts fresh every time, losing the subtle reasoning context that Claude Agent SDK maintains across tool calls.</w:t>
      </w:r>
    </w:p>
    <w:p>
      <w:pPr>
        <w:spacing w:after="200"/>
      </w:pPr>
      <w:r>
        <w:rPr>
          <w:rFonts w:ascii="Arial" w:cs="Arial" w:eastAsia="Arial" w:hAnsi="Arial"/>
          <w:sz w:val="24"/>
          <w:szCs w:val="24"/>
        </w:rPr>
        <w:t xml:space="preserve"/>
      </w:r>
      <w:r>
        <w:rPr>
          <w:rFonts w:ascii="Arial" w:cs="Arial" w:eastAsia="Arial" w:hAnsi="Arial"/>
          <w:b/>
          <w:bCs/>
          <w:sz w:val="24"/>
          <w:szCs w:val="24"/>
        </w:rPr>
        <w:t xml:space="preserve">No OS-level learner isolation.</w:t>
      </w:r>
      <w:r>
        <w:rPr>
          <w:rFonts w:ascii="Arial" w:cs="Arial" w:eastAsia="Arial" w:hAnsi="Arial"/>
          <w:sz w:val="24"/>
          <w:szCs w:val="24"/>
        </w:rPr>
        <w:t xml:space="preserve"> All 16,000 learners share a single application process. A session management bug could theoretically leak one learner’s conversation into another’s context window. The security model depends entirely on application code being correct.</w:t>
      </w:r>
    </w:p>
    <w:p>
      <w:pPr>
        <w:spacing w:after="200"/>
      </w:pPr>
      <w:r>
        <w:rPr>
          <w:rFonts w:ascii="Arial" w:cs="Arial" w:eastAsia="Arial" w:hAnsi="Arial"/>
          <w:sz w:val="24"/>
          <w:szCs w:val="24"/>
        </w:rPr>
        <w:t xml:space="preserve"/>
      </w:r>
      <w:r>
        <w:rPr>
          <w:rFonts w:ascii="Arial" w:cs="Arial" w:eastAsia="Arial" w:hAnsi="Arial"/>
          <w:b/>
          <w:bCs/>
          <w:sz w:val="24"/>
          <w:szCs w:val="24"/>
        </w:rPr>
        <w:t xml:space="preserve">Limited tool use.</w:t>
      </w:r>
      <w:r>
        <w:rPr>
          <w:rFonts w:ascii="Arial" w:cs="Arial" w:eastAsia="Arial" w:hAnsi="Arial"/>
          <w:sz w:val="24"/>
          <w:szCs w:val="24"/>
        </w:rPr>
        <w:t xml:space="preserve"> The tutor cannot browse the web, read files, write files, or use any tools. It is a conversational agent only, not an agentic one.</w:t>
      </w:r>
    </w:p>
    <w:p>
      <w:pPr>
        <w:pStyle w:val="Heading1"/>
      </w:pPr>
      <w:r>
        <w:rPr>
          <w:rFonts w:ascii="Arial" w:cs="Arial" w:eastAsia="Arial" w:hAnsi="Arial"/>
        </w:rPr>
        <w:t xml:space="preserve">3. Architecture 2: NanoClaw-Native — Honest Assessment</w:t>
      </w:r>
    </w:p>
    <w:p>
      <w:pPr>
        <w:pStyle w:val="Heading2"/>
      </w:pPr>
      <w:r>
        <w:rPr>
          <w:rFonts w:ascii="Arial" w:cs="Arial" w:eastAsia="Arial" w:hAnsi="Arial"/>
        </w:rPr>
        <w:t xml:space="preserve">3.1 What It Is</w:t>
      </w:r>
    </w:p>
    <w:p>
      <w:pPr>
        <w:spacing w:after="200"/>
      </w:pPr>
      <w:r>
        <w:rPr>
          <w:rFonts w:ascii="Arial" w:cs="Arial" w:eastAsia="Arial" w:hAnsi="Arial"/>
          <w:sz w:val="24"/>
          <w:szCs w:val="24"/>
        </w:rPr>
        <w:t xml:space="preserve">Each learner gets their own NanoClaw Docker container running Claude Agent SDK. The container has persistent memory, can execute code, read/write files, and use tools. An Orchestrator routes WhatsApp messages to the correct container. Claude Code Router enables multi-model routing. Pod Snapshots (GKE), Fly.io Sprites, or CRIU handle the sleep/wake lifecycle.</w:t>
      </w:r>
    </w:p>
    <w:p>
      <w:pPr>
        <w:pStyle w:val="Heading2"/>
      </w:pPr>
      <w:r>
        <w:rPr>
          <w:rFonts w:ascii="Arial" w:cs="Arial" w:eastAsia="Arial" w:hAnsi="Arial"/>
        </w:rPr>
        <w:t xml:space="preserve">3.2 Honest Strengths</w:t>
      </w:r>
    </w:p>
    <w:p>
      <w:pPr>
        <w:spacing w:after="200"/>
      </w:pPr>
      <w:r>
        <w:rPr>
          <w:rFonts w:ascii="Arial" w:cs="Arial" w:eastAsia="Arial" w:hAnsi="Arial"/>
          <w:sz w:val="24"/>
          <w:szCs w:val="24"/>
        </w:rPr>
        <w:t xml:space="preserve"/>
      </w:r>
      <w:r>
        <w:rPr>
          <w:rFonts w:ascii="Arial" w:cs="Arial" w:eastAsia="Arial" w:hAnsi="Arial"/>
          <w:b/>
          <w:bCs/>
          <w:sz w:val="24"/>
          <w:szCs w:val="24"/>
        </w:rPr>
        <w:t xml:space="preserve">Code execution.</w:t>
      </w:r>
      <w:r>
        <w:rPr>
          <w:rFonts w:ascii="Arial" w:cs="Arial" w:eastAsia="Arial" w:hAnsi="Arial"/>
          <w:sz w:val="24"/>
          <w:szCs w:val="24"/>
        </w:rPr>
        <w:t xml:space="preserve"> When a learner pastes a Python function and asks “why doesn’t this work?”, the tutor executes it inside the container, sees the traceback, and explains the specific error. This is a fundamentally different pedagogical experience. It is the difference between a tutor who reads your essay and one who can actually run your experiment.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OS-level isolation.</w:t>
      </w:r>
      <w:r>
        <w:rPr>
          <w:rFonts w:ascii="Arial" w:cs="Arial" w:eastAsia="Arial" w:hAnsi="Arial"/>
          <w:sz w:val="24"/>
          <w:szCs w:val="24"/>
        </w:rPr>
        <w:t xml:space="preserve"> Each learner has their own container, filesystem, and session history. A compromised or misbehaving agent in one container literally cannot access another learner’s data. The security model does not depend on your application code being perfect—it is enforced by the operating system.</w:t>
      </w:r>
    </w:p>
    <w:p>
      <w:pPr>
        <w:spacing w:after="200"/>
      </w:pPr>
      <w:r>
        <w:rPr>
          <w:rFonts w:ascii="Arial" w:cs="Arial" w:eastAsia="Arial" w:hAnsi="Arial"/>
          <w:sz w:val="24"/>
          <w:szCs w:val="24"/>
        </w:rPr>
        <w:t xml:space="preserve"/>
      </w:r>
      <w:r>
        <w:rPr>
          <w:rFonts w:ascii="Arial" w:cs="Arial" w:eastAsia="Arial" w:hAnsi="Arial"/>
          <w:b/>
          <w:bCs/>
          <w:sz w:val="24"/>
          <w:szCs w:val="24"/>
        </w:rPr>
        <w:t xml:space="preserve">Persistent state.</w:t>
      </w:r>
      <w:r>
        <w:rPr>
          <w:rFonts w:ascii="Arial" w:cs="Arial" w:eastAsia="Arial" w:hAnsi="Arial"/>
          <w:sz w:val="24"/>
          <w:szCs w:val="24"/>
        </w:rPr>
        <w:t xml:space="preserve"> The tutor remembers everything across sessions—conversation history, chapter position, confidence scores, and the subtle in-process reasoning context that Claude Agent SDK maintains. With Pod Snapshots or Sprites, the learner picks up exactly where they left off.</w:t>
      </w:r>
    </w:p>
    <w:p>
      <w:pPr>
        <w:spacing w:after="200"/>
      </w:pPr>
      <w:r>
        <w:rPr>
          <w:rFonts w:ascii="Arial" w:cs="Arial" w:eastAsia="Arial" w:hAnsi="Arial"/>
          <w:sz w:val="24"/>
          <w:szCs w:val="24"/>
        </w:rPr>
        <w:t xml:space="preserve"/>
      </w:r>
      <w:r>
        <w:rPr>
          <w:rFonts w:ascii="Arial" w:cs="Arial" w:eastAsia="Arial" w:hAnsi="Arial"/>
          <w:b/>
          <w:bCs/>
          <w:sz w:val="24"/>
          <w:szCs w:val="24"/>
        </w:rPr>
        <w:t xml:space="preserve">Pedagogical portability.</w:t>
      </w:r>
      <w:r>
        <w:rPr>
          <w:rFonts w:ascii="Arial" w:cs="Arial" w:eastAsia="Arial" w:hAnsi="Arial"/>
          <w:sz w:val="24"/>
          <w:szCs w:val="24"/>
        </w:rPr>
        <w:t xml:space="preserve"> The same NanoClaw container runs locally (students build their own TutorClaw in the book) and in the cloud (production platform). Students are learning the exact system that runs in production.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Book alignment.</w:t>
      </w:r>
      <w:r>
        <w:rPr>
          <w:rFonts w:ascii="Arial" w:cs="Arial" w:eastAsia="Arial" w:hAnsi="Arial"/>
          <w:sz w:val="24"/>
          <w:szCs w:val="24"/>
        </w:rPr>
        <w:t xml:space="preserve"> The pedagogical arc—install NanoClaw locally, build the TutorClaw skill, Dockerize for security, scale to Kubernetes—is powerful, incremental, and teaches real production skills.</w:t>
      </w:r>
    </w:p>
    <w:p>
      <w:pPr>
        <w:pStyle w:val="Heading2"/>
      </w:pPr>
      <w:r>
        <w:rPr>
          <w:rFonts w:ascii="Arial" w:cs="Arial" w:eastAsia="Arial" w:hAnsi="Arial"/>
        </w:rPr>
        <w:t xml:space="preserve">3.3 Honest Weaknesses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Engineering effort.</w:t>
      </w:r>
      <w:r>
        <w:rPr>
          <w:rFonts w:ascii="Arial" w:cs="Arial" w:eastAsia="Arial" w:hAnsi="Arial"/>
          <w:sz w:val="24"/>
          <w:szCs w:val="24"/>
        </w:rPr>
        <w:t xml:space="preserve"> This requires 2–4 months: Orchestrator service, Kubernetes cluster (or Fly.io), Claude Code Router configuration, container lifecycle management, WhatsApp Business API, Stripe integration, and monitoring. This is not a weekend project.</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Operational complexity.</w:t>
      </w:r>
      <w:r>
        <w:rPr>
          <w:rFonts w:ascii="Arial" w:cs="Arial" w:eastAsia="Arial" w:hAnsi="Arial"/>
          <w:sz w:val="24"/>
          <w:szCs w:val="24"/>
        </w:rPr>
        <w:t xml:space="preserve"> Managing thousands of containers, each with its own state, each needing to sleep and wake reliably, is genuinely hard. Container orchestration is a skill set your team may not have. Debugging “why did learner #8,742’s container fail to restore from a Pod Snapshot” is harder than debugging a database query.</w:t>
      </w:r>
    </w:p>
    <w:p>
      <w:pPr>
        <w:spacing w:after="200"/>
      </w:pPr>
      <w:r>
        <w:rPr>
          <w:rFonts w:ascii="Arial" w:cs="Arial" w:eastAsia="Arial" w:hAnsi="Arial"/>
          <w:sz w:val="24"/>
          <w:szCs w:val="24"/>
        </w:rPr>
        <w:t xml:space="preserve"/>
      </w:r>
      <w:r>
        <w:rPr>
          <w:rFonts w:ascii="Arial" w:cs="Arial" w:eastAsia="Arial" w:hAnsi="Arial"/>
          <w:b/>
          <w:bCs/>
          <w:sz w:val="24"/>
          <w:szCs w:val="24"/>
        </w:rPr>
        <w:t xml:space="preserve">Higher infrastructure cost.</w:t>
      </w:r>
      <w:r>
        <w:rPr>
          <w:rFonts w:ascii="Arial" w:cs="Arial" w:eastAsia="Arial" w:hAnsi="Arial"/>
          <w:sz w:val="24"/>
          <w:szCs w:val="24"/>
        </w:rPr>
        <w:t xml:space="preserve"> $575–$1,600/month vs. $200–$300/month for Architecture 1. Not a dealbreaker (it is only 10% of total cost), but it is real money.</w:t>
      </w:r>
    </w:p>
    <w:p>
      <w:pPr>
        <w:spacing w:after="200"/>
      </w:pPr>
      <w:r>
        <w:rPr>
          <w:rFonts w:ascii="Arial" w:cs="Arial" w:eastAsia="Arial" w:hAnsi="Arial"/>
          <w:sz w:val="24"/>
          <w:szCs w:val="24"/>
        </w:rPr>
        <w:t xml:space="preserve"/>
      </w:r>
      <w:r>
        <w:rPr>
          <w:rFonts w:ascii="Arial" w:cs="Arial" w:eastAsia="Arial" w:hAnsi="Arial"/>
          <w:b/>
          <w:bCs/>
          <w:sz w:val="24"/>
          <w:szCs w:val="24"/>
        </w:rPr>
        <w:t xml:space="preserve">Dependency risk.</w:t>
      </w:r>
      <w:r>
        <w:rPr>
          <w:rFonts w:ascii="Arial" w:cs="Arial" w:eastAsia="Arial" w:hAnsi="Arial"/>
          <w:sz w:val="24"/>
          <w:szCs w:val="24"/>
        </w:rPr>
        <w:t xml:space="preserve"> Claude Code Router is a community-maintained open-source project (27,800 stars, but no corporate backer). NanoClaw itself is six weeks old. Both are promising but unproven at enterprise scale.</w:t>
      </w:r>
    </w:p>
    <w:p>
      <w:pPr>
        <w:spacing w:after="200"/>
      </w:pPr>
      <w:r>
        <w:rPr>
          <w:rFonts w:ascii="Arial" w:cs="Arial" w:eastAsia="Arial" w:hAnsi="Arial"/>
          <w:sz w:val="24"/>
          <w:szCs w:val="24"/>
        </w:rPr>
        <w:t xml:space="preserve"/>
      </w:r>
      <w:r>
        <w:rPr>
          <w:rFonts w:ascii="Arial" w:cs="Arial" w:eastAsia="Arial" w:hAnsi="Arial"/>
          <w:b/>
          <w:bCs/>
          <w:sz w:val="24"/>
          <w:szCs w:val="24"/>
        </w:rPr>
        <w:t xml:space="preserve">Claude-only without the shim.</w:t>
      </w:r>
      <w:r>
        <w:rPr>
          <w:rFonts w:ascii="Arial" w:cs="Arial" w:eastAsia="Arial" w:hAnsi="Arial"/>
          <w:sz w:val="24"/>
          <w:szCs w:val="24"/>
        </w:rPr>
        <w:t xml:space="preserve"> NanoClaw runs exclusively on Claude Agent SDK. The Claude Code Router solves this, but it adds a dependency layer and a potential failure point.</w:t>
      </w:r>
    </w:p>
    <w:p>
      <w:pPr>
        <w:pStyle w:val="Heading1"/>
      </w:pPr>
      <w:r>
        <w:rPr>
          <w:rFonts w:ascii="Arial" w:cs="Arial" w:eastAsia="Arial" w:hAnsi="Arial"/>
        </w:rPr>
        <w:t xml:space="preserve">4. The Decision Framework</w:t>
      </w:r>
    </w:p>
    <w:p>
      <w:pPr>
        <w:spacing w:after="200"/>
      </w:pPr>
      <w:r>
        <w:rPr>
          <w:rFonts w:ascii="Arial" w:cs="Arial" w:eastAsia="Arial" w:hAnsi="Arial"/>
          <w:sz w:val="24"/>
          <w:szCs w:val="24"/>
        </w:rPr>
        <w:t xml:space="preserve">The following matrix maps specific conditions to the architecture they favor: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Favors Architecture 1</w:t>
            </w:r>
          </w:p>
        </w:tc>
        <w:tc>
          <w:tcPr>
            <w:tcW w:type="dxa" w:w="34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Favors Architecture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production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it live within a month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wait 3–4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expertise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Python/FastAPI, no K8s experience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Docker/Kubernetes experience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pedagogy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Conceptual explanation, Q&amp;A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execution, hands-on labs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audience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cost-sensitive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Premium/corporate, security-conscious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priority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can lag behind production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and production must align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available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product-market fit data yet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demand for code execution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tolerance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 to minimize operational risk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Willing to manage container complexity</w:t>
            </w:r>
          </w:p>
        </w:tc>
      </w:tr>
    </w:tbl>
    <w:p>
      <w:pPr>
        <w:spacing w:after="100"/>
      </w:pPr>
    </w:p>
    <w:p>
      <w:pPr>
        <w:spacing w:after="200"/>
      </w:pPr>
      <w:r>
        <w:rPr>
          <w:rFonts w:ascii="Arial" w:cs="Arial" w:eastAsia="Arial" w:hAnsi="Arial"/>
          <w:sz w:val="24"/>
          <w:szCs w:val="24"/>
        </w:rPr>
        <w:t xml:space="preserve">For TutorClaw specifically, the conditions are mixed: PIAIC needs tutoring immediately (favors Architecture 1), the book teaches NanoClaw-native architecture (favors Architecture 2), no product-market fit data exists yet (favors Architecture 1), and code execution is pedagogically important for an AI-native development curriculum (favors Architecture 2).</w:t>
      </w:r>
    </w:p>
    <w:p>
      <w:pPr>
        <w:spacing w:after="200"/>
      </w:pPr>
      <w:r>
        <w:rPr>
          <w:rFonts w:ascii="Arial" w:cs="Arial" w:eastAsia="Arial" w:hAnsi="Arial"/>
          <w:sz w:val="24"/>
          <w:szCs w:val="24"/>
        </w:rPr>
        <w:t xml:space="preserve">When conditions are mixed, the answer is not to pick one side. The answer is the Hybrid.</w:t>
      </w:r>
    </w:p>
    <w:p>
      <w:pPr>
        <w:pStyle w:val="Heading1"/>
      </w:pPr>
      <w:r>
        <w:rPr>
          <w:rFonts w:ascii="Arial" w:cs="Arial" w:eastAsia="Arial" w:hAnsi="Arial"/>
        </w:rPr>
        <w:t xml:space="preserve">5. Architecture 3: The Hybrid — In Detail</w:t>
      </w:r>
    </w:p>
    <w:p>
      <w:pPr>
        <w:pStyle w:val="Heading2"/>
      </w:pPr>
      <w:r>
        <w:rPr>
          <w:rFonts w:ascii="Arial" w:cs="Arial" w:eastAsia="Arial" w:hAnsi="Arial"/>
        </w:rPr>
        <w:t xml:space="preserve">5.1 The Core Principle</w:t>
      </w:r>
    </w:p>
    <w:p>
      <w:pPr>
        <w:spacing w:after="200"/>
      </w:pPr>
      <w:r>
        <w:rPr>
          <w:rFonts w:ascii="Arial" w:cs="Arial" w:eastAsia="Arial" w:hAnsi="Arial"/>
          <w:sz w:val="24"/>
          <w:szCs w:val="24"/>
        </w:rPr>
        <w:t xml:space="preserve">Ship Architecture 1 for production. Teach Architecture 2 in the book. Migrate production to Architecture 2 when the data justifies it. Nothing is wasted. Everything is additive.</w:t>
      </w:r>
    </w:p>
    <w:p>
      <w:pPr>
        <w:pStyle w:val="Heading2"/>
      </w:pPr>
      <w:r>
        <w:rPr>
          <w:rFonts w:ascii="Arial" w:cs="Arial" w:eastAsia="Arial" w:hAnsi="Arial"/>
        </w:rPr>
        <w:t xml:space="preserve">5.2 Track A: Production TutorClaw (Architecture 1)</w:t>
      </w:r>
    </w:p>
    <w:p>
      <w:pPr>
        <w:spacing w:after="200"/>
      </w:pPr>
      <w:r>
        <w:rPr>
          <w:rFonts w:ascii="Arial" w:cs="Arial" w:eastAsia="Arial" w:hAnsi="Arial"/>
          <w:sz w:val="24"/>
          <w:szCs w:val="24"/>
        </w:rPr>
        <w:t xml:space="preserve">Build and deploy the Custom Brain architecture within 2–3 weeks:</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WhatsApp Business Cloud API</w:t>
      </w:r>
      <w:r>
        <w:rPr>
          <w:rFonts w:ascii="Arial" w:cs="Arial" w:eastAsia="Arial" w:hAnsi="Arial"/>
          <w:sz w:val="24"/>
          <w:szCs w:val="24"/>
        </w:rPr>
        <w:t xml:space="preserve"> receives learner messages via webhook. A FastAPI service identifies the learner by phone number, looks up their tier (from Stripe), chapter position, PRIMM stage, confidence scores, and recent conversation history from PostgreSQL.</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Brain</w:t>
      </w:r>
      <w:r>
        <w:rPr>
          <w:rFonts w:ascii="Arial" w:cs="Arial" w:eastAsia="Arial" w:hAnsi="Arial"/>
          <w:sz w:val="24"/>
          <w:szCs w:val="24"/>
        </w:rPr>
        <w:t xml:space="preserve"> assembles the context window: PHPM/PRIMM-AI+ system prompt (full for paid/premium, PRIMM-Lite for free), learner state injection, current chapter content chunk, and recent conversation history. It selects the model via OpenRouter based on tier and message complexity.</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OpenRouter</w:t>
      </w:r>
      <w:r>
        <w:rPr>
          <w:rFonts w:ascii="Arial" w:cs="Arial" w:eastAsia="Arial" w:hAnsi="Arial"/>
          <w:sz w:val="24"/>
          <w:szCs w:val="24"/>
        </w:rPr>
        <w:t xml:space="preserve"> routes the call to the selected provider (DeepSeek for free, GPT-5.4 mini for paid, Claude Sonnet for premium). Stripe Token Billing records usage and applies the configured margin.</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response</w:t>
      </w:r>
      <w:r>
        <w:rPr>
          <w:rFonts w:ascii="Arial" w:cs="Arial" w:eastAsia="Arial" w:hAnsi="Arial"/>
          <w:sz w:val="24"/>
          <w:szCs w:val="24"/>
        </w:rPr>
        <w:t xml:space="preserve"> flows back through WhatsApp Cloud API. Learner state is updated in PostgreSQL.</w:t>
      </w:r>
    </w:p>
    <w:p>
      <w:pPr>
        <w:spacing w:after="200"/>
      </w:pPr>
      <w:r>
        <w:rPr>
          <w:rFonts w:ascii="Arial" w:cs="Arial" w:eastAsia="Arial" w:hAnsi="Arial"/>
          <w:sz w:val="24"/>
          <w:szCs w:val="24"/>
        </w:rPr>
        <w:t xml:space="preserve">Accept the limitations: no code execution, 5–10 second context rebuild latency, conversational-only tutoring. Focus on validating product-market fit: Are learners using TutorClaw daily? What is the free-to-paid conversion rate? Which chapters need the most tutoring? Where does the PRIMM-AI+ framework break down?</w:t>
      </w:r>
    </w:p>
    <w:p>
      <w:pPr>
        <w:pStyle w:val="Heading2"/>
      </w:pPr>
      <w:r>
        <w:rPr>
          <w:rFonts w:ascii="Arial" w:cs="Arial" w:eastAsia="Arial" w:hAnsi="Arial"/>
        </w:rPr>
        <w:t xml:space="preserve">5.3 Track B: Book TutorClaw (Architecture 2 Local)</w:t>
      </w:r>
    </w:p>
    <w:p>
      <w:pPr>
        <w:spacing w:after="200"/>
      </w:pPr>
      <w:r>
        <w:rPr>
          <w:rFonts w:ascii="Arial" w:cs="Arial" w:eastAsia="Arial" w:hAnsi="Arial"/>
          <w:sz w:val="24"/>
          <w:szCs w:val="24"/>
        </w:rPr>
        <w:t xml:space="preserve">Simultaneously, in the book, teach students to build TutorClaw Local using NanoClaw:</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A:</w:t>
      </w:r>
      <w:r>
        <w:rPr>
          <w:rFonts w:ascii="Arial" w:cs="Arial" w:eastAsia="Arial" w:hAnsi="Arial"/>
          <w:sz w:val="24"/>
          <w:szCs w:val="24"/>
        </w:rPr>
        <w:t xml:space="preserve"> Install NanoClaw on your laptop. Connect WhatsApp via QR code. Your personal AI tutor is live.</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B:</w:t>
      </w:r>
      <w:r>
        <w:rPr>
          <w:rFonts w:ascii="Arial" w:cs="Arial" w:eastAsia="Arial" w:hAnsi="Arial"/>
          <w:sz w:val="24"/>
          <w:szCs w:val="24"/>
        </w:rPr>
        <w:t xml:space="preserve"> Build the TutorClaw skill—package the PRIMM-AI+ framework as NanoClaw’s system prompt and mounted files. Mount the book’s 30 chapters as read-only content.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C:</w:t>
      </w:r>
      <w:r>
        <w:rPr>
          <w:rFonts w:ascii="Arial" w:cs="Arial" w:eastAsia="Arial" w:hAnsi="Arial"/>
          <w:sz w:val="24"/>
          <w:szCs w:val="24"/>
        </w:rPr>
        <w:t xml:space="preserve"> Add Claude Code Router for multi-model intelligence. Configure tier-aware routing. Test with different models.</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D:</w:t>
      </w:r>
      <w:r>
        <w:rPr>
          <w:rFonts w:ascii="Arial" w:cs="Arial" w:eastAsia="Arial" w:hAnsi="Arial"/>
          <w:sz w:val="24"/>
          <w:szCs w:val="24"/>
        </w:rPr>
        <w:t xml:space="preserve"> Dockerize for security using Docker Sandboxes. Understand container-per-agent isolation.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E:</w:t>
      </w:r>
      <w:r>
        <w:rPr>
          <w:rFonts w:ascii="Arial" w:cs="Arial" w:eastAsia="Arial" w:hAnsi="Arial"/>
          <w:sz w:val="24"/>
          <w:szCs w:val="24"/>
        </w:rPr>
        <w:t xml:space="preserve"> (Advanced) Scale to Kubernetes with Agent Sandbox and Pod Snapshots. Understand the Orchestrator pattern.</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F:</w:t>
      </w:r>
      <w:r>
        <w:rPr>
          <w:rFonts w:ascii="Arial" w:cs="Arial" w:eastAsia="Arial" w:hAnsi="Arial"/>
          <w:sz w:val="24"/>
          <w:szCs w:val="24"/>
        </w:rPr>
        <w:t xml:space="preserve"> The Economics Stack—OpenRouter, Stripe Token Billing, tiered pricing, unit economics.</w:t>
      </w:r>
    </w:p>
    <w:p>
      <w:pPr>
        <w:spacing w:after="200"/>
      </w:pPr>
      <w:r>
        <w:rPr>
          <w:rFonts w:ascii="Arial" w:cs="Arial" w:eastAsia="Arial" w:hAnsi="Arial"/>
          <w:sz w:val="24"/>
          <w:szCs w:val="24"/>
        </w:rPr>
        <w:t xml:space="preserve">Each student builds their own TutorClaw on their own machine, using their own Claude API key. This costs Panaversity nothing to operate. Students experience the full NanoClaw-native architecture—code execution, persistent memory, tool use, container isolation—without requiring the production infrastructure to support it.</w:t>
      </w:r>
    </w:p>
    <w:p>
      <w:pPr>
        <w:pStyle w:val="Heading2"/>
      </w:pPr>
      <w:r>
        <w:rPr>
          <w:rFonts w:ascii="Arial" w:cs="Arial" w:eastAsia="Arial" w:hAnsi="Arial"/>
        </w:rPr>
        <w:t xml:space="preserve">5.4 The Migration Decision Point (Month 3–6)</w:t>
      </w:r>
    </w:p>
    <w:p>
      <w:pPr>
        <w:spacing w:after="200"/>
      </w:pPr>
      <w:r>
        <w:rPr>
          <w:rFonts w:ascii="Arial" w:cs="Arial" w:eastAsia="Arial" w:hAnsi="Arial"/>
          <w:sz w:val="24"/>
          <w:szCs w:val="24"/>
        </w:rPr>
        <w:t xml:space="preserve">After 3–6 months of running Architecture 1 in production, you will have data to answer four critical questions:</w:t>
      </w:r>
    </w:p>
    <w:p>
      <w:pPr>
        <w:spacing w:after="200"/>
      </w:pPr>
      <w:r>
        <w:rPr>
          <w:rFonts w:ascii="Arial" w:cs="Arial" w:eastAsia="Arial" w:hAnsi="Arial"/>
          <w:sz w:val="24"/>
          <w:szCs w:val="24"/>
        </w:rPr>
        <w:t xml:space="preserve"/>
      </w:r>
      <w:r>
        <w:rPr>
          <w:rFonts w:ascii="Arial" w:cs="Arial" w:eastAsia="Arial" w:hAnsi="Arial"/>
          <w:b/>
          <w:bCs/>
          <w:sz w:val="24"/>
          <w:szCs w:val="24"/>
        </w:rPr>
        <w:t xml:space="preserve">Question 1: How many learners are active daily?</w:t>
      </w:r>
      <w:r>
        <w:rPr>
          <w:rFonts w:ascii="Arial" w:cs="Arial" w:eastAsia="Arial" w:hAnsi="Arial"/>
          <w:sz w:val="24"/>
          <w:szCs w:val="24"/>
        </w:rPr>
        <w:t xml:space="preserve"> This determines whether container orchestration is worth the complexity. If only 500 learners are active daily, managing containers is overkill. If 4,000+ are active, the investment is justified.</w:t>
      </w:r>
    </w:p>
    <w:p>
      <w:pPr>
        <w:spacing w:after="200"/>
      </w:pPr>
      <w:r>
        <w:rPr>
          <w:rFonts w:ascii="Arial" w:cs="Arial" w:eastAsia="Arial" w:hAnsi="Arial"/>
          <w:sz w:val="24"/>
          <w:szCs w:val="24"/>
        </w:rPr>
        <w:t xml:space="preserve"/>
      </w:r>
      <w:r>
        <w:rPr>
          <w:rFonts w:ascii="Arial" w:cs="Arial" w:eastAsia="Arial" w:hAnsi="Arial"/>
          <w:b/>
          <w:bCs/>
          <w:sz w:val="24"/>
          <w:szCs w:val="24"/>
        </w:rPr>
        <w:t xml:space="preserve">Question 2: Does code execution matter?</w:t>
      </w:r>
      <w:r>
        <w:rPr>
          <w:rFonts w:ascii="Arial" w:cs="Arial" w:eastAsia="Arial" w:hAnsi="Arial"/>
          <w:sz w:val="24"/>
          <w:szCs w:val="24"/>
        </w:rPr>
        <w:t xml:space="preserve"> Analyze the tutoring logs. How often do learners paste code and ask for help? How often does the tutor’s response fail because it cannot actually run the code? If code execution would have improved &gt;20% of interactions, migrate.</w:t>
      </w:r>
    </w:p>
    <w:p>
      <w:pPr>
        <w:spacing w:after="200"/>
      </w:pPr>
      <w:r>
        <w:rPr>
          <w:rFonts w:ascii="Arial" w:cs="Arial" w:eastAsia="Arial" w:hAnsi="Arial"/>
          <w:sz w:val="24"/>
          <w:szCs w:val="24"/>
        </w:rPr>
        <w:t xml:space="preserve"/>
      </w:r>
      <w:r>
        <w:rPr>
          <w:rFonts w:ascii="Arial" w:cs="Arial" w:eastAsia="Arial" w:hAnsi="Arial"/>
          <w:b/>
          <w:bCs/>
          <w:sz w:val="24"/>
          <w:szCs w:val="24"/>
        </w:rPr>
        <w:t xml:space="preserve">Question 3: What is the conversion rate?</w:t>
      </w:r>
      <w:r>
        <w:rPr>
          <w:rFonts w:ascii="Arial" w:cs="Arial" w:eastAsia="Arial" w:hAnsi="Arial"/>
          <w:sz w:val="24"/>
          <w:szCs w:val="24"/>
        </w:rPr>
        <w:t xml:space="preserve"> If 10% of free users convert to paid within 3 months, the revenue justifies higher infrastructure cost. If conversion is 2%, you need to improve the product (possibly via code execution) before spending on infrastructure.</w:t>
      </w:r>
    </w:p>
    <w:p>
      <w:pPr>
        <w:spacing w:after="200"/>
      </w:pPr>
      <w:r>
        <w:rPr>
          <w:rFonts w:ascii="Arial" w:cs="Arial" w:eastAsia="Arial" w:hAnsi="Arial"/>
          <w:sz w:val="24"/>
          <w:szCs w:val="24"/>
        </w:rPr>
        <w:t xml:space="preserve"/>
      </w:r>
      <w:r>
        <w:rPr>
          <w:rFonts w:ascii="Arial" w:cs="Arial" w:eastAsia="Arial" w:hAnsi="Arial"/>
          <w:b/>
          <w:bCs/>
          <w:sz w:val="24"/>
          <w:szCs w:val="24"/>
        </w:rPr>
        <w:t xml:space="preserve">Question 4: Has NanoClaw matured?</w:t>
      </w:r>
      <w:r>
        <w:rPr>
          <w:rFonts w:ascii="Arial" w:cs="Arial" w:eastAsia="Arial" w:hAnsi="Arial"/>
          <w:sz w:val="24"/>
          <w:szCs w:val="24"/>
        </w:rPr>
        <w:t xml:space="preserve"> Six months from now, NanoClaw will be ~9 months old. Has it released a stable 1.0? Has the Docker partnership produced production-ready tooling? Has the community grown? If yes, the dependency risk has decreased.</w:t>
      </w:r>
    </w:p>
    <w:p>
      <w:pPr>
        <w:spacing w:after="200"/>
      </w:pPr>
      <w:r>
        <w:rPr>
          <w:rFonts w:ascii="Arial" w:cs="Arial" w:eastAsia="Arial" w:hAnsi="Arial"/>
          <w:sz w:val="24"/>
          <w:szCs w:val="24"/>
        </w:rPr>
        <w:t xml:space="preserve">If the answers are positive, migrate production to Architecture 2. If not, stay on Architecture 1 and invest in better prompts and content.</w:t>
      </w:r>
    </w:p>
    <w:p>
      <w:pPr>
        <w:pStyle w:val="Heading2"/>
      </w:pPr>
      <w:r>
        <w:rPr>
          <w:rFonts w:ascii="Arial" w:cs="Arial" w:eastAsia="Arial" w:hAnsi="Arial"/>
        </w:rPr>
        <w:t xml:space="preserve">5.5 The Migration Path (What Survives)</w:t>
      </w:r>
    </w:p>
    <w:p>
      <w:pPr>
        <w:spacing w:after="200"/>
      </w:pPr>
      <w:r>
        <w:rPr>
          <w:rFonts w:ascii="Arial" w:cs="Arial" w:eastAsia="Arial" w:hAnsi="Arial"/>
          <w:sz w:val="24"/>
          <w:szCs w:val="24"/>
        </w:rPr>
        <w:t xml:space="preserve">Architecture 1 is not throwaway work. Its components survive into Architecture 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Architecture 1</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Architecture 2 (after migration)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Cloud API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receiver + sender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(Orchestrator replaces FastAPI)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billing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Billing + subscriptions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OpenRouter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LLM calls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Claude Code Router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state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state store + learner registry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PRIMM-AI+ prompts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in Python code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Mounted as NanoClaw skill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 content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 from content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Mounted read-only in containers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database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Orchestrator’s routing table</w:t>
            </w:r>
          </w:p>
        </w:tc>
      </w:tr>
    </w:tbl>
    <w:p>
      <w:pPr>
        <w:spacing w:after="100"/>
      </w:pPr>
    </w:p>
    <w:p>
      <w:pPr>
        <w:spacing w:after="200"/>
      </w:pPr>
      <w:r>
        <w:rPr>
          <w:rFonts w:ascii="Arial" w:cs="Arial" w:eastAsia="Arial" w:hAnsi="Arial"/>
          <w:sz w:val="24"/>
          <w:szCs w:val="24"/>
        </w:rPr>
        <w:t xml:space="preserve">The migration is not a rewrite. It is wrapping the existing Brain logic inside NanoClaw containers and adding code execution, persistent state, and container isolation. The prompts, content, billing, and messaging integrations carry over directly.</w:t>
      </w:r>
    </w:p>
    <w:p>
      <w:pPr>
        <w:pStyle w:val="Heading2"/>
      </w:pPr>
      <w:r>
        <w:rPr>
          <w:rFonts w:ascii="Arial" w:cs="Arial" w:eastAsia="Arial" w:hAnsi="Arial"/>
        </w:rPr>
        <w:t xml:space="preserve">5.6 The Complete Hybrid Timeline</w:t>
      </w:r>
    </w:p>
    <w:p>
      <w:pPr>
        <w:spacing w:after="200"/>
      </w:pPr>
      <w:r>
        <w:rPr>
          <w:rFonts w:ascii="Arial" w:cs="Arial" w:eastAsia="Arial" w:hAnsi="Arial"/>
          <w:sz w:val="24"/>
          <w:szCs w:val="24"/>
        </w:rPr>
        <w:t xml:space="preserve"/>
      </w:r>
      <w:r>
        <w:rPr>
          <w:rFonts w:ascii="Arial" w:cs="Arial" w:eastAsia="Arial" w:hAnsi="Arial"/>
          <w:b/>
          <w:bCs/>
          <w:sz w:val="24"/>
          <w:szCs w:val="24"/>
        </w:rPr>
        <w:t xml:space="preserve">Weeks 1–3:</w:t>
      </w:r>
      <w:r>
        <w:rPr>
          <w:rFonts w:ascii="Arial" w:cs="Arial" w:eastAsia="Arial" w:hAnsi="Arial"/>
          <w:sz w:val="24"/>
          <w:szCs w:val="24"/>
        </w:rPr>
        <w:t xml:space="preserve"> Build and deploy Architecture 1. TutorClaw goes live on WhatsApp for all PIAIC learners. Free tier on DeepSeek, paid on GPT-5.4 mini, premium on Claude Sonnet. Stripe handles billing. Total cost: ~$12,200/month.</w:t>
      </w:r>
    </w:p>
    <w:p>
      <w:pPr>
        <w:spacing w:after="200"/>
      </w:pPr>
      <w:r>
        <w:rPr>
          <w:rFonts w:ascii="Arial" w:cs="Arial" w:eastAsia="Arial" w:hAnsi="Arial"/>
          <w:sz w:val="24"/>
          <w:szCs w:val="24"/>
        </w:rPr>
        <w:t xml:space="preserve"/>
      </w:r>
      <w:r>
        <w:rPr>
          <w:rFonts w:ascii="Arial" w:cs="Arial" w:eastAsia="Arial" w:hAnsi="Arial"/>
          <w:b/>
          <w:bCs/>
          <w:sz w:val="24"/>
          <w:szCs w:val="24"/>
        </w:rPr>
        <w:t xml:space="preserve">Months 1–3:</w:t>
      </w:r>
      <w:r>
        <w:rPr>
          <w:rFonts w:ascii="Arial" w:cs="Arial" w:eastAsia="Arial" w:hAnsi="Arial"/>
          <w:sz w:val="24"/>
          <w:szCs w:val="24"/>
        </w:rPr>
        <w:t xml:space="preserve"> Collect product-market fit data. Iterate on PRIMM-AI+ prompts based on real tutoring interactions. Publish book chapters teaching NanoClaw-native TutorClaw Local. Students build their own local tutors.</w:t>
      </w:r>
    </w:p>
    <w:p>
      <w:pPr>
        <w:spacing w:after="200"/>
      </w:pPr>
      <w:r>
        <w:rPr>
          <w:rFonts w:ascii="Arial" w:cs="Arial" w:eastAsia="Arial" w:hAnsi="Arial"/>
          <w:sz w:val="24"/>
          <w:szCs w:val="24"/>
        </w:rPr>
        <w:t xml:space="preserve"/>
      </w:r>
      <w:r>
        <w:rPr>
          <w:rFonts w:ascii="Arial" w:cs="Arial" w:eastAsia="Arial" w:hAnsi="Arial"/>
          <w:b/>
          <w:bCs/>
          <w:sz w:val="24"/>
          <w:szCs w:val="24"/>
        </w:rPr>
        <w:t xml:space="preserve">Month 3–4:</w:t>
      </w:r>
      <w:r>
        <w:rPr>
          <w:rFonts w:ascii="Arial" w:cs="Arial" w:eastAsia="Arial" w:hAnsi="Arial"/>
          <w:sz w:val="24"/>
          <w:szCs w:val="24"/>
        </w:rPr>
        <w:t xml:space="preserve"> Analyze data. Make the migration decision. If justified, begin building the Orchestrator and configuring Fly.io Sprites or GKE.</w:t>
      </w:r>
    </w:p>
    <w:p>
      <w:pPr>
        <w:spacing w:after="200"/>
      </w:pPr>
      <w:r>
        <w:rPr>
          <w:rFonts w:ascii="Arial" w:cs="Arial" w:eastAsia="Arial" w:hAnsi="Arial"/>
          <w:sz w:val="24"/>
          <w:szCs w:val="24"/>
        </w:rPr>
        <w:t xml:space="preserve"/>
      </w:r>
      <w:r>
        <w:rPr>
          <w:rFonts w:ascii="Arial" w:cs="Arial" w:eastAsia="Arial" w:hAnsi="Arial"/>
          <w:b/>
          <w:bCs/>
          <w:sz w:val="24"/>
          <w:szCs w:val="24"/>
        </w:rPr>
        <w:t xml:space="preserve">Months 4–6 (if migrating):</w:t>
      </w:r>
      <w:r>
        <w:rPr>
          <w:rFonts w:ascii="Arial" w:cs="Arial" w:eastAsia="Arial" w:hAnsi="Arial"/>
          <w:sz w:val="24"/>
          <w:szCs w:val="24"/>
        </w:rPr>
        <w:t xml:space="preserve"> Deploy Architecture 2. Each learner gets a NanoClaw container with code execution and persistent state. Claude Code Router enables multi-model routing. Fly.io Sprites or GKE Pod Snapshots handle lifecycle. Total cost: ~$12,600–$13,500/month.</w:t>
      </w:r>
    </w:p>
    <w:p>
      <w:pPr>
        <w:spacing w:after="200"/>
      </w:pPr>
      <w:r>
        <w:rPr>
          <w:rFonts w:ascii="Arial" w:cs="Arial" w:eastAsia="Arial" w:hAnsi="Arial"/>
          <w:sz w:val="24"/>
          <w:szCs w:val="24"/>
        </w:rPr>
        <w:t xml:space="preserve"/>
      </w:r>
      <w:r>
        <w:rPr>
          <w:rFonts w:ascii="Arial" w:cs="Arial" w:eastAsia="Arial" w:hAnsi="Arial"/>
          <w:b/>
          <w:bCs/>
          <w:sz w:val="24"/>
          <w:szCs w:val="24"/>
        </w:rPr>
        <w:t xml:space="preserve">Months 6–12:</w:t>
      </w:r>
      <w:r>
        <w:rPr>
          <w:rFonts w:ascii="Arial" w:cs="Arial" w:eastAsia="Arial" w:hAnsi="Arial"/>
          <w:sz w:val="24"/>
          <w:szCs w:val="24"/>
        </w:rPr>
        <w:t xml:space="preserve"> Enterprise features. GKE Agent Sandbox for corporate security. Per-organization Kubernetes namespaces for banking clients. CRIU exploration for cloud portability.</w:t>
      </w:r>
    </w:p>
    <w:p>
      <w:pPr>
        <w:pStyle w:val="Heading1"/>
      </w:pPr>
      <w:r>
        <w:rPr>
          <w:rFonts w:ascii="Arial" w:cs="Arial" w:eastAsia="Arial" w:hAnsi="Arial"/>
        </w:rPr>
        <w:t xml:space="preserve">6. Economics of the Hybrid Approach</w:t>
      </w:r>
    </w:p>
    <w:p>
      <w:pPr>
        <w:spacing w:after="200"/>
      </w:pPr>
      <w:r>
        <w:rPr>
          <w:rFonts w:ascii="Arial" w:cs="Arial" w:eastAsia="Arial" w:hAnsi="Arial"/>
          <w:sz w:val="24"/>
          <w:szCs w:val="24"/>
        </w:rPr>
        <w:t xml:space="preserve">The Hybrid’s economic advantage is that it defers infrastructure investment until revenue data justifies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00"/>
        <w:gridCol w:w="1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Infra Cost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LLM Cost</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(Arch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+$3,450–3,550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(Sprites)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+$2,150–2,350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(GKE)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$575–700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+$3,050–3,175</w:t>
            </w:r>
          </w:p>
        </w:tc>
      </w:tr>
    </w:tbl>
    <w:p>
      <w:pPr>
        <w:spacing w:after="100"/>
      </w:pPr>
    </w:p>
    <w:p>
      <w:pPr>
        <w:spacing w:after="200"/>
      </w:pPr>
      <w:r>
        <w:rPr>
          <w:rFonts w:ascii="Arial" w:cs="Arial" w:eastAsia="Arial" w:hAnsi="Arial"/>
          <w:sz w:val="24"/>
          <w:szCs w:val="24"/>
        </w:rPr>
        <w:t xml:space="preserve">In Phase 1, you have the highest net margin (~$3,500/month) because infrastructure is minimal. This generates the cash flow to fund the Phase 2 migration. If product-market fit is not achieved, you have not wasted $50,000+ on Kubernetes infrastructure that serves no learners.</w:t>
      </w:r>
    </w:p>
    <w:p>
      <w:pPr>
        <w:spacing w:after="200"/>
      </w:pPr>
      <w:r>
        <w:rPr>
          <w:rFonts w:ascii="Arial" w:cs="Arial" w:eastAsia="Arial" w:hAnsi="Arial"/>
          <w:sz w:val="24"/>
          <w:szCs w:val="24"/>
        </w:rPr>
        <w:t xml:space="preserve">The 90/10 rule applies throughout: LLM costs dominate in every phase. The infrastructure difference between phases ($200 vs. $1,600) is noise compared to the $12,000 LLM bill. Your model routing strategy—which is identical across all phases—is the primary cost lever.</w:t>
      </w:r>
    </w:p>
    <w:p>
      <w:pPr>
        <w:pStyle w:val="Heading1"/>
      </w:pPr>
      <w:r>
        <w:rPr>
          <w:rFonts w:ascii="Arial" w:cs="Arial" w:eastAsia="Arial" w:hAnsi="Arial"/>
        </w:rPr>
        <w:t xml:space="preserve">7. Risk Mitigation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NanoClaw doesn’t mature.</w:t>
      </w:r>
      <w:r>
        <w:rPr>
          <w:rFonts w:ascii="Arial" w:cs="Arial" w:eastAsia="Arial" w:hAnsi="Arial"/>
          <w:sz w:val="24"/>
          <w:szCs w:val="24"/>
        </w:rPr>
        <w:t xml:space="preserve"> Mitigation: Architecture 1 is production-capable indefinitely. You can stay on it while exploring alternatives (OpenClaw’s Agents Plane if it ships, or a custom container orchestration layer).</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Claude Code Router is abandoned.</w:t>
      </w:r>
      <w:r>
        <w:rPr>
          <w:rFonts w:ascii="Arial" w:cs="Arial" w:eastAsia="Arial" w:hAnsi="Arial"/>
          <w:sz w:val="24"/>
          <w:szCs w:val="24"/>
        </w:rPr>
        <w:t xml:space="preserve"> Mitigation: It is MIT-licensed with 27,800 stars. You can fork and maintain it. At worst, you replace it with a custom proxy (~500 lines of Node.js) that does the same OpenAI-compatible routing.</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Product-market fit fails.</w:t>
      </w:r>
      <w:r>
        <w:rPr>
          <w:rFonts w:ascii="Arial" w:cs="Arial" w:eastAsia="Arial" w:hAnsi="Arial"/>
          <w:sz w:val="24"/>
          <w:szCs w:val="24"/>
        </w:rPr>
        <w:t xml:space="preserve"> Mitigation: Architecture 1’s low infrastructure cost ($200–300/month) means you can run TutorClaw at minimal burn while iterating on the product. You have not committed to expensive infrastructure before validating demand.</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Learners need code execution immediately.</w:t>
      </w:r>
      <w:r>
        <w:rPr>
          <w:rFonts w:ascii="Arial" w:cs="Arial" w:eastAsia="Arial" w:hAnsi="Arial"/>
          <w:sz w:val="24"/>
          <w:szCs w:val="24"/>
        </w:rPr>
        <w:t xml:space="preserve"> Mitigation: For the small percentage of premium learners who need code execution now, point them to TutorClaw Local (NanoClaw on their own machine). This serves their need while the cloud version catches up.</w:t>
      </w:r>
    </w:p>
    <w:p>
      <w:pPr>
        <w:spacing w:after="200"/>
      </w:pPr>
      <w:r>
        <w:rPr>
          <w:rFonts w:ascii="Arial" w:cs="Arial" w:eastAsia="Arial" w:hAnsi="Arial"/>
          <w:sz w:val="24"/>
          <w:szCs w:val="24"/>
        </w:rPr>
        <w:t xml:space="preserve"/>
      </w:r>
      <w:r>
        <w:rPr>
          <w:rFonts w:ascii="Arial" w:cs="Arial" w:eastAsia="Arial" w:hAnsi="Arial"/>
          <w:b/>
          <w:bCs/>
          <w:sz w:val="24"/>
          <w:szCs w:val="24"/>
        </w:rPr>
        <w:t xml:space="preserve">Risk: GKE Pod Snapshots create vendor lock-in.</w:t>
      </w:r>
      <w:r>
        <w:rPr>
          <w:rFonts w:ascii="Arial" w:cs="Arial" w:eastAsia="Arial" w:hAnsi="Arial"/>
          <w:sz w:val="24"/>
          <w:szCs w:val="24"/>
        </w:rPr>
        <w:t xml:space="preserve"> Mitigation: The phased approach (Cloud Run → Fly.io Sprites → GKE → CRIU) ensures you never commit to a vendor before the data demands it. The PostgreSQL external state store serves as a universal fallback that works on any platform.</w:t>
      </w:r>
    </w:p>
    <w:p>
      <w:pPr>
        <w:pStyle w:val="Heading1"/>
      </w:pPr>
      <w:r>
        <w:rPr>
          <w:rFonts w:ascii="Arial" w:cs="Arial" w:eastAsia="Arial" w:hAnsi="Arial"/>
        </w:rPr>
        <w:t xml:space="preserve">8. Conclusion</w:t>
      </w:r>
    </w:p>
    <w:p>
      <w:pPr>
        <w:spacing w:after="200"/>
      </w:pPr>
      <w:r>
        <w:rPr>
          <w:rFonts w:ascii="Arial" w:cs="Arial" w:eastAsia="Arial" w:hAnsi="Arial"/>
          <w:sz w:val="24"/>
          <w:szCs w:val="24"/>
        </w:rPr>
        <w:t xml:space="preserve">The Hybrid architecture is not a compromise—it is a strategy. It recognizes that Panaversity simultaneously runs an educational organization, writes a book, and builds a product, and that each has different requirements and timelines.</w:t>
      </w:r>
    </w:p>
    <w:p>
      <w:pPr>
        <w:spacing w:after="200"/>
      </w:pPr>
      <w:r>
        <w:rPr>
          <w:rFonts w:ascii="Arial" w:cs="Arial" w:eastAsia="Arial" w:hAnsi="Arial"/>
          <w:sz w:val="24"/>
          <w:szCs w:val="24"/>
        </w:rPr>
        <w:t xml:space="preserve">Architecture 1 (Custom Brain) is right for production today because it ships in weeks, costs almost nothing to operate, and generates the product-market fit data needed to make informed decisions.</w:t>
      </w:r>
    </w:p>
    <w:p>
      <w:pPr>
        <w:spacing w:after="200"/>
      </w:pPr>
      <w:r>
        <w:rPr>
          <w:rFonts w:ascii="Arial" w:cs="Arial" w:eastAsia="Arial" w:hAnsi="Arial"/>
          <w:sz w:val="24"/>
          <w:szCs w:val="24"/>
        </w:rPr>
        <w:t xml:space="preserve">Architecture 2 (NanoClaw-native) is right for the book today because it teaches the full power of container-per-agent architecture, code execution, and production scaling—skills that students will use throughout their careers.</w:t>
      </w:r>
    </w:p>
    <w:p>
      <w:pPr>
        <w:spacing w:after="200"/>
      </w:pPr>
      <w:r>
        <w:rPr>
          <w:rFonts w:ascii="Arial" w:cs="Arial" w:eastAsia="Arial" w:hAnsi="Arial"/>
          <w:sz w:val="24"/>
          <w:szCs w:val="24"/>
        </w:rPr>
        <w:t xml:space="preserve">Architecture 3 (the Hybrid) is right for the organization because it serves all three goals simultaneously, defers expensive infrastructure investment until data justifies it, and ensures that nothing built in Phase 1 is wasted when migrating to Phase 2.</w:t>
      </w:r>
    </w:p>
    <w:p>
      <w:pPr>
        <w:spacing w:after="200"/>
      </w:pPr>
      <w:r>
        <w:rPr>
          <w:rFonts w:ascii="Arial" w:cs="Arial" w:eastAsia="Arial" w:hAnsi="Arial"/>
          <w:sz w:val="24"/>
          <w:szCs w:val="24"/>
        </w:rPr>
        <w:t xml:space="preserve">The most honest lesson from this entire deliberative journey: </w:t>
      </w:r>
      <w:r>
        <w:rPr>
          <w:rFonts w:ascii="Arial" w:cs="Arial" w:eastAsia="Arial" w:hAnsi="Arial"/>
          <w:b/>
          <w:bCs/>
          <w:sz w:val="24"/>
          <w:szCs w:val="24"/>
        </w:rPr>
        <w:t xml:space="preserve">the best architecture is the one you can ship, learn from, and improve.</w:t>
      </w:r>
      <w:r>
        <w:rPr>
          <w:rFonts w:ascii="Arial" w:cs="Arial" w:eastAsia="Arial" w:hAnsi="Arial"/>
          <w:sz w:val="24"/>
          <w:szCs w:val="24"/>
        </w:rPr>
        <w:t xml:space="preserve"> An elegant NanoClaw-native design that takes four months to build teaches no one anything during those four months. A simple Custom Brain that ships in three weeks and puts a tutor in 16,000 learners’ pockets—that changes lives immediately, and the data it generates makes every subsequent architectural decision better.</w:t>
      </w:r>
    </w:p>
    <w:p>
      <w:pPr>
        <w:spacing w:after="200"/>
      </w:pPr>
      <w:r>
        <w:rPr>
          <w:rFonts w:ascii="Arial" w:cs="Arial" w:eastAsia="Arial" w:hAnsi="Arial"/>
          <w:sz w:val="24"/>
          <w:szCs w:val="24"/>
        </w:rPr>
        <w:t xml:space="preserve">Ship first. Teach deep. Migrate when justified. That is the Hybrid architecture, and that is how real products are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TutorClaw Hybrid Architecture | Panaversity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2026-03-18T04:23:49.215Z</dcterms:created>
  <dcterms:modified xsi:type="dcterms:W3CDTF">2026-03-18T04:23:49.218Z</dcterms:modified>
</cp:coreProperties>
</file>

<file path=docProps/custom.xml><?xml version="1.0" encoding="utf-8"?>
<Properties xmlns="http://schemas.openxmlformats.org/officeDocument/2006/custom-properties" xmlns:vt="http://schemas.openxmlformats.org/officeDocument/2006/docPropsVTypes"/>
</file>