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color w:val="888888"/>
          <w:sz w:val="28"/>
          <w:szCs w:val="28"/>
        </w:rPr>
        <w:t xml:space="preserve">The AI Agent Factory — Part 5: Building the Agent Factory</w:t>
      </w:r>
    </w:p>
    <w:p>
      <w:pPr>
        <w:spacing w:after="100"/>
      </w:pPr>
    </w:p>
    <w:p>
      <w:pPr>
        <w:spacing w:after="200"/>
        <w:jc w:val="center"/>
      </w:pPr>
      <w:r>
        <w:rPr>
          <w:rFonts w:ascii="Arial" w:cs="Arial" w:eastAsia="Arial" w:hAnsi="Arial"/>
          <w:b/>
          <w:bCs/>
          <w:color w:val="1B3A5C"/>
          <w:sz w:val="72"/>
          <w:szCs w:val="72"/>
        </w:rPr>
        <w:t xml:space="preserve">Architecture Decisions</w:t>
      </w:r>
    </w:p>
    <w:p>
      <w:pPr>
        <w:spacing w:after="200"/>
        <w:jc w:val="center"/>
      </w:pPr>
      <w:r>
        <w:rPr>
          <w:rFonts w:ascii="Arial" w:cs="Arial" w:eastAsia="Arial" w:hAnsi="Arial"/>
          <w:b/>
          <w:bCs/>
          <w:color w:val="1B3A5C"/>
          <w:sz w:val="72"/>
          <w:szCs w:val="72"/>
        </w:rPr>
        <w:t xml:space="preserve">in the Real World</w:t>
      </w:r>
    </w:p>
    <w:p>
      <w:pPr>
        <w:spacing w:after="200"/>
        <w:jc w:val="center"/>
      </w:pPr>
      <w:r>
        <w:rPr>
          <w:rFonts w:ascii="Arial" w:cs="Arial" w:eastAsia="Arial" w:hAnsi="Arial"/>
          <w:color w:val="444444"/>
          <w:sz w:val="28"/>
          <w:szCs w:val="28"/>
        </w:rPr>
        <w:t xml:space="preserve">Six Pivots from Idea to MCP-First Product</w:t>
      </w:r>
    </w:p>
    <w:p>
      <w:pPr>
        <w:spacing w:after="100"/>
      </w:pPr>
    </w:p>
    <w:p>
      <w:pPr>
        <w:spacing w:after="100"/>
      </w:pPr>
    </w:p>
    <w:p>
      <w:pPr>
        <w:spacing w:after="100"/>
      </w:pPr>
    </w:p>
    <w:p>
      <w:pPr>
        <w:jc w:val="center"/>
      </w:pPr>
      <w:r>
        <w:rPr>
          <w:rFonts w:ascii="Arial" w:cs="Arial" w:eastAsia="Arial" w:hAnsi="Arial"/>
          <w:b/>
          <w:bCs/>
          <w:sz w:val="28"/>
          <w:szCs w:val="28"/>
        </w:rPr>
        <w:t xml:space="preserve">Zia Khan</w:t>
      </w:r>
    </w:p>
    <w:p>
      <w:pPr>
        <w:jc w:val="center"/>
      </w:pPr>
      <w:r>
        <w:rPr>
          <w:rFonts w:ascii="Arial" w:cs="Arial" w:eastAsia="Arial" w:hAnsi="Arial"/>
          <w:color w:val="2E75B6"/>
          <w:sz w:val="24"/>
          <w:szCs w:val="24"/>
        </w:rPr>
        <w:t xml:space="preserve">agentfactory.panaversity.org</w:t>
      </w:r>
    </w:p>
    <w:p>
      <w:r>
        <w:br w:type="page"/>
      </w:r>
    </w:p>
    <w:p>
      <w:pPr>
        <w:pStyle w:val="Heading1"/>
      </w:pPr>
      <w:r>
        <w:rPr>
          <w:rFonts w:ascii="Arial" w:cs="Arial" w:eastAsia="Arial" w:hAnsi="Arial"/>
        </w:rPr>
        <w:t xml:space="preserve">Chapter Introduction</w:t>
      </w:r>
    </w:p>
    <w:p>
      <w:pPr>
        <w:spacing w:after="200"/>
      </w:pPr>
      <w:r>
        <w:rPr>
          <w:rFonts w:ascii="Arial" w:cs="Arial" w:eastAsia="Arial" w:hAnsi="Arial"/>
          <w:i/>
          <w:iCs/>
          <w:sz w:val="24"/>
          <w:szCs w:val="24"/>
        </w:rPr>
        <w:t xml:space="preserve">“Plans are useless, but planning is indispensable.” — Dwight D. Eisenhower</w:t>
      </w:r>
    </w:p>
    <w:p>
      <w:pPr>
        <w:spacing w:after="100"/>
      </w:pPr>
    </w:p>
    <w:p>
      <w:pPr>
        <w:spacing w:after="200"/>
      </w:pPr>
      <w:r>
        <w:rPr>
          <w:rFonts w:ascii="Arial" w:cs="Arial" w:eastAsia="Arial" w:hAnsi="Arial"/>
          <w:sz w:val="24"/>
          <w:szCs w:val="24"/>
        </w:rPr>
        <w:t xml:space="preserve">Most technical books present architecture as a clean diagram. You see the final design—boxes, arrows, labels—and it looks inevitable.</w:t>
      </w:r>
    </w:p>
    <w:p>
      <w:pPr>
        <w:spacing w:after="200"/>
      </w:pPr>
      <w:r>
        <w:rPr>
          <w:rFonts w:ascii="Arial" w:cs="Arial" w:eastAsia="Arial" w:hAnsi="Arial"/>
          <w:sz w:val="24"/>
          <w:szCs w:val="24"/>
        </w:rPr>
        <w:t xml:space="preserve">That is not how real products are built.</w:t>
      </w:r>
    </w:p>
    <w:p>
      <w:pPr>
        <w:spacing w:after="200"/>
      </w:pPr>
      <w:r>
        <w:rPr>
          <w:rFonts w:ascii="Arial" w:cs="Arial" w:eastAsia="Arial" w:hAnsi="Arial"/>
          <w:sz w:val="24"/>
          <w:szCs w:val="24"/>
        </w:rPr>
        <w:t xml:space="preserve">TutorClaw went through six major architectural pivots before reaching its final form: an MCP server on $50–70/month of infrastructure serving unlimited learners at 99.5% gross margins. Each pivot was driven by a discovery—a technical limitation, an economic constraint, a pedagogical insight, or a timing reality—that invalidated the previous design. At no point did we have perfect information. At every point, we made the best decision we could, shipped it, and learned.</w:t>
      </w:r>
    </w:p>
    <w:p>
      <w:pPr>
        <w:spacing w:after="200"/>
      </w:pPr>
      <w:r>
        <w:rPr>
          <w:rFonts w:ascii="Arial" w:cs="Arial" w:eastAsia="Arial" w:hAnsi="Arial"/>
          <w:sz w:val="24"/>
          <w:szCs w:val="24"/>
        </w:rPr>
        <w:t xml:space="preserve">This chapter documents every architecture we considered, every dead end we identified, and the reasoning behind each decision. If the previous chapters taught you how to build agents, this chapter teaches you how to think about building agents.</w:t>
      </w:r>
    </w:p>
    <w:p>
      <w:pPr>
        <w:pStyle w:val="Heading1"/>
      </w:pPr>
      <w:r>
        <w:rPr>
          <w:rFonts w:ascii="Arial" w:cs="Arial" w:eastAsia="Arial" w:hAnsi="Arial"/>
        </w:rPr>
        <w:t xml:space="preserve">1. The Six Pivots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1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Pivot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an idea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 Claude + Skills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GTC 2026: Jensen declares OpenClaw the next 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 Claude Agent SDK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native runtime + Claude models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SDKs are redundant inside OpenClaw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as foundation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Brain + WhatsApp Cloud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cannot do multi-tenant at scale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Brain (shared process)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NanoClaw-native (container-per-learner)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NanoClaw offers OS-level isolation + code execution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Arch 1 or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ship Arch 1, teach Arch 2, migrate later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goals have three different timelines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infrastructure for learners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ARE the infrastructure (MCP on OpenClaw)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OpenClaw is the OS, TutorClaw is just an app</w:t>
            </w:r>
          </w:p>
        </w:tc>
      </w:tr>
    </w:tbl>
    <w:p>
      <w:pPr>
        <w:spacing w:after="100"/>
      </w:pPr>
    </w:p>
    <w:p>
      <w:pPr>
        <w:spacing w:after="200"/>
      </w:pPr>
      <w:r>
        <w:rPr>
          <w:rFonts w:ascii="Arial" w:cs="Arial" w:eastAsia="Arial" w:hAnsi="Arial"/>
          <w:sz w:val="24"/>
          <w:szCs w:val="24"/>
        </w:rPr>
        <w:t xml:space="preserve">Each pivot preserved work from the previous stage. The PRIMM-AI+ system prompts survived every pivot. The Stripe billing survived. The chapter content survived. Good architecture is not about getting it right the first time—it is about structuring decisions so each layer can be replaced without destroying the others.</w:t>
      </w:r>
    </w:p>
    <w:p>
      <w:pPr>
        <w:pStyle w:val="Heading1"/>
      </w:pPr>
      <w:r>
        <w:rPr>
          <w:rFonts w:ascii="Arial" w:cs="Arial" w:eastAsia="Arial" w:hAnsi="Arial"/>
        </w:rPr>
        <w:t xml:space="preserve">2. Pivot 1: The OpenClaw Moment</w:t>
      </w:r>
    </w:p>
    <w:p>
      <w:pPr>
        <w:spacing w:after="200"/>
      </w:pPr>
      <w:r>
        <w:rPr>
          <w:rFonts w:ascii="Arial" w:cs="Arial" w:eastAsia="Arial" w:hAnsi="Arial"/>
          <w:sz w:val="24"/>
          <w:szCs w:val="24"/>
        </w:rPr>
        <w:t xml:space="preserve">On March 16, 2026, Jensen Huang declared OpenClaw “the most popular open-source project in the history of humanity.” NVIDIA announced NemoClaw. OpenAI backed the foundation. The hype was real.</w:t>
      </w:r>
    </w:p>
    <w:p>
      <w:pPr>
        <w:spacing w:after="200"/>
      </w:pPr>
      <w:r>
        <w:rPr>
          <w:rFonts w:ascii="Arial" w:cs="Arial" w:eastAsia="Arial" w:hAnsi="Arial"/>
          <w:sz w:val="24"/>
          <w:szCs w:val="24"/>
        </w:rPr>
        <w:t xml:space="preserve">OpenClaw’s two-layer architecture (Gateway + Agent Runtime) mapped directly to our Body+Brain pattern. Its Markdown skills matched our SKILL.md approach. The plan: package PRIMM-AI+ as an OpenClaw skill, connect WhatsApp, plug in Claude. Done.</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we learned:</w:t>
      </w:r>
      <w:r>
        <w:rPr>
          <w:rFonts w:ascii="Arial" w:cs="Arial" w:eastAsia="Arial" w:hAnsi="Arial"/>
          <w:sz w:val="24"/>
          <w:szCs w:val="24"/>
        </w:rPr>
        <w:t xml:space="preserve"> Hype is not architecture. We started with the platform rather than the requirements. OpenClaw was brilliant for personal assistants, but we hadn’t tested it against our specific constraints.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w:t>
      </w:r>
      <w:r>
        <w:rPr>
          <w:rFonts w:ascii="Arial" w:cs="Arial" w:eastAsia="Arial" w:hAnsi="Arial"/>
          <w:sz w:val="24"/>
          <w:szCs w:val="24"/>
        </w:rPr>
        <w:t xml:space="preserve"> When a shiny technology appears, ask “What problem does this solve for my users?” before asking “How do I integrate this?”</w:t>
      </w:r>
    </w:p>
    <w:p>
      <w:pPr>
        <w:pStyle w:val="Heading1"/>
      </w:pPr>
      <w:r>
        <w:rPr>
          <w:rFonts w:ascii="Arial" w:cs="Arial" w:eastAsia="Arial" w:hAnsi="Arial"/>
        </w:rPr>
        <w:t xml:space="preserve">3. Pivot 2: The SDK Confusion</w:t>
      </w:r>
    </w:p>
    <w:p>
      <w:pPr>
        <w:spacing w:after="200"/>
      </w:pPr>
      <w:r>
        <w:rPr>
          <w:rFonts w:ascii="Arial" w:cs="Arial" w:eastAsia="Arial" w:hAnsi="Arial"/>
          <w:sz w:val="24"/>
          <w:szCs w:val="24"/>
        </w:rPr>
        <w:t xml:space="preserve">Should TutorClaw use the Claude Agent SDK (computer-centric, Claude-only), the OpenAI Agents SDK (multi-agent Handoffs, model-agnostic), or OpenClaw’s native runtime?</w:t>
      </w:r>
    </w:p>
    <w:p>
      <w:pPr>
        <w:spacing w:after="200"/>
      </w:pPr>
      <w:r>
        <w:rPr>
          <w:rFonts w:ascii="Arial" w:cs="Arial" w:eastAsia="Arial" w:hAnsi="Arial"/>
          <w:sz w:val="24"/>
          <w:szCs w:val="24"/>
        </w:rPr>
        <w:t xml:space="preserve">This exposed a common confusion: conflating the LLM (raw intelligence), the Agent Runtime (the loop), and the Agent SDK (a framework for building runtimes). OpenClaw already provides a runtime. Plugging an SDK into it means running an agent loop inside an agent loop—redundant and wasteful.</w:t>
      </w:r>
    </w:p>
    <w:p>
      <w:pPr>
        <w:spacing w:after="200"/>
      </w:pPr>
      <w:r>
        <w:rPr>
          <w:rFonts w:ascii="Arial" w:cs="Arial" w:eastAsia="Arial" w:hAnsi="Arial"/>
          <w:sz w:val="24"/>
          <w:szCs w:val="24"/>
        </w:rPr>
        <w:t xml:space="preserve"/>
      </w:r>
      <w:r>
        <w:rPr>
          <w:rFonts w:ascii="Arial" w:cs="Arial" w:eastAsia="Arial" w:hAnsi="Arial"/>
          <w:b/>
          <w:bCs/>
          <w:sz w:val="24"/>
          <w:szCs w:val="24"/>
        </w:rPr>
        <w:t xml:space="preserve">Decision:</w:t>
      </w:r>
      <w:r>
        <w:rPr>
          <w:rFonts w:ascii="Arial" w:cs="Arial" w:eastAsia="Arial" w:hAnsi="Arial"/>
          <w:sz w:val="24"/>
          <w:szCs w:val="24"/>
        </w:rPr>
        <w:t xml:space="preserve"> Use OpenClaw’s native runtime with Claude as the model. Simplest architecture.</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w:t>
      </w:r>
      <w:r>
        <w:rPr>
          <w:rFonts w:ascii="Arial" w:cs="Arial" w:eastAsia="Arial" w:hAnsi="Arial"/>
          <w:sz w:val="24"/>
          <w:szCs w:val="24"/>
        </w:rPr>
        <w:t xml:space="preserve"> When evaluating tools, identify which layer each operates at. Don’t stack tools at the same layer.</w:t>
      </w:r>
    </w:p>
    <w:p>
      <w:pPr>
        <w:pStyle w:val="Heading1"/>
      </w:pPr>
      <w:r>
        <w:rPr>
          <w:rFonts w:ascii="Arial" w:cs="Arial" w:eastAsia="Arial" w:hAnsi="Arial"/>
        </w:rPr>
        <w:t xml:space="preserve">4. Pivot 3: The Scale Wall</w:t>
      </w:r>
    </w:p>
    <w:p>
      <w:pPr>
        <w:spacing w:after="200"/>
      </w:pPr>
      <w:r>
        <w:rPr>
          <w:rFonts w:ascii="Arial" w:cs="Arial" w:eastAsia="Arial" w:hAnsi="Arial"/>
          <w:sz w:val="24"/>
          <w:szCs w:val="24"/>
        </w:rPr>
        <w:t xml:space="preserve">The requirement: 16,000 learners click a button, enter their WhatsApp number, and start learning. No installation. No QR code.</w:t>
      </w:r>
    </w:p>
    <w:p>
      <w:pPr>
        <w:spacing w:after="200"/>
      </w:pPr>
      <w:r>
        <w:rPr>
          <w:rFonts w:ascii="Arial" w:cs="Arial" w:eastAsia="Arial" w:hAnsi="Arial"/>
          <w:sz w:val="24"/>
          <w:szCs w:val="24"/>
        </w:rPr>
        <w:t xml:space="preserve">OpenClaw’s security docs destroyed this: “One trusted operator boundary per gateway.” Baileys (WhatsApp integration) supports max 4 linked devices per phone. Multi-tenant “Agents Plane” was a GitHub issue, not code.</w:t>
      </w:r>
    </w:p>
    <w:p>
      <w:pPr>
        <w:spacing w:after="200"/>
      </w:pPr>
      <w:r>
        <w:rPr>
          <w:rFonts w:ascii="Arial" w:cs="Arial" w:eastAsia="Arial" w:hAnsi="Arial"/>
          <w:sz w:val="24"/>
          <w:szCs w:val="24"/>
        </w:rPr>
        <w:t xml:space="preserve">We pivoted to a custom architecture: WhatsApp Business Cloud API + FastAPI Brain + PostgreSQL + OpenRouter + Stripe. It worked but all learners shared one process—isolation was in the code, not the OS.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w:t>
      </w:r>
      <w:r>
        <w:rPr>
          <w:rFonts w:ascii="Arial" w:cs="Arial" w:eastAsia="Arial" w:hAnsi="Arial"/>
          <w:sz w:val="24"/>
          <w:szCs w:val="24"/>
        </w:rPr>
        <w:t xml:space="preserve"> Always read the security documentation. “It works for me” is not “it works for 16,000 users.” Test architecture against your most demanding requirement first.</w:t>
      </w:r>
    </w:p>
    <w:p>
      <w:pPr>
        <w:pStyle w:val="Heading1"/>
      </w:pPr>
      <w:r>
        <w:rPr>
          <w:rFonts w:ascii="Arial" w:cs="Arial" w:eastAsia="Arial" w:hAnsi="Arial"/>
        </w:rPr>
        <w:t xml:space="preserve">5. Pivot 4: The NanoClaw Insight</w:t>
      </w:r>
    </w:p>
    <w:p>
      <w:pPr>
        <w:spacing w:after="200"/>
      </w:pPr>
      <w:r>
        <w:rPr>
          <w:rFonts w:ascii="Arial" w:cs="Arial" w:eastAsia="Arial" w:hAnsi="Arial"/>
          <w:sz w:val="24"/>
          <w:szCs w:val="24"/>
        </w:rPr>
        <w:t xml:space="preserve">NanoClaw: ~700 lines of TypeScript, container-per-agent isolation, built on Claude Agent SDK, Docker partnership for MicroVM sandboxes. The leap from “one container per agent” to “one container per learner” was conceptually small.</w:t>
      </w:r>
    </w:p>
    <w:p>
      <w:pPr>
        <w:spacing w:after="200"/>
      </w:pPr>
      <w:r>
        <w:rPr>
          <w:rFonts w:ascii="Arial" w:cs="Arial" w:eastAsia="Arial" w:hAnsi="Arial"/>
          <w:sz w:val="24"/>
          <w:szCs w:val="24"/>
        </w:rPr>
        <w:t xml:space="preserve">Claude Code Router solved NanoClaw’s Claude-only limitation by intercepting API calls and routing to any provider. GKE Pod Snapshots, Fly.io Sprites, and CRIU offered container lifecycle management. The economics revealed the 90/10 rule: LLM costs ($12,000/month) were 90% of total cost; infrastructure ($200–1,600/month) was 10%.</w:t>
      </w:r>
    </w:p>
    <w:p>
      <w:pPr>
        <w:spacing w:after="200"/>
      </w:pPr>
      <w:r>
        <w:rPr>
          <w:rFonts w:ascii="Arial" w:cs="Arial" w:eastAsia="Arial" w:hAnsi="Arial"/>
          <w:sz w:val="24"/>
          <w:szCs w:val="24"/>
        </w:rPr>
        <w:t xml:space="preserve">But NanoClaw-native required 2–4 months of engineering: Orchestrator, Kubernetes, container lifecycle, monitoring. Far more complex than the Custom Brain.</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w:t>
      </w:r>
      <w:r>
        <w:rPr>
          <w:rFonts w:ascii="Arial" w:cs="Arial" w:eastAsia="Arial" w:hAnsi="Arial"/>
          <w:sz w:val="24"/>
          <w:szCs w:val="24"/>
        </w:rPr>
        <w:t xml:space="preserve"> A better architecture is not always the right architecture for right now. The investment must be justified by the value it creates.</w:t>
      </w:r>
    </w:p>
    <w:p>
      <w:pPr>
        <w:pStyle w:val="Heading1"/>
      </w:pPr>
      <w:r>
        <w:rPr>
          <w:rFonts w:ascii="Arial" w:cs="Arial" w:eastAsia="Arial" w:hAnsi="Arial"/>
        </w:rPr>
        <w:t xml:space="preserve">6. Pivot 5: The Hybrid Resolution</w:t>
      </w:r>
    </w:p>
    <w:p>
      <w:pPr>
        <w:spacing w:after="200"/>
      </w:pPr>
      <w:r>
        <w:rPr>
          <w:rFonts w:ascii="Arial" w:cs="Arial" w:eastAsia="Arial" w:hAnsi="Arial"/>
          <w:sz w:val="24"/>
          <w:szCs w:val="24"/>
        </w:rPr>
        <w:t xml:space="preserve">Three goals with three timelines: PIAIC needs tutoring now (weeks), the book needs NanoClaw architecture (quarter), the product needs revenue data (ongoing). No single architecture optimized for all three.</w:t>
      </w:r>
    </w:p>
    <w:p>
      <w:pPr>
        <w:spacing w:after="200"/>
      </w:pPr>
      <w:r>
        <w:rPr>
          <w:rFonts w:ascii="Arial" w:cs="Arial" w:eastAsia="Arial" w:hAnsi="Arial"/>
          <w:sz w:val="24"/>
          <w:szCs w:val="24"/>
        </w:rPr>
        <w:t xml:space="preserve">The Hybrid: ship the Custom Brain in 2–3 weeks for production. Teach NanoClaw-native in the book for education. Migrate production when data justifies it. Nothing wasted, everything additive.</w:t>
      </w:r>
    </w:p>
    <w:p>
      <w:pPr>
        <w:spacing w:after="200"/>
      </w:pPr>
      <w:r>
        <w:rPr>
          <w:rFonts w:ascii="Arial" w:cs="Arial" w:eastAsia="Arial" w:hAnsi="Arial"/>
          <w:sz w:val="24"/>
          <w:szCs w:val="24"/>
        </w:rPr>
        <w:t xml:space="preserve">This was the correct meta-strategy. But it still assumed Panaversity must build and operate infrastructure for all learners.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w:t>
      </w:r>
      <w:r>
        <w:rPr>
          <w:rFonts w:ascii="Arial" w:cs="Arial" w:eastAsia="Arial" w:hAnsi="Arial"/>
          <w:sz w:val="24"/>
          <w:szCs w:val="24"/>
        </w:rPr>
        <w:t xml:space="preserve"> When goals have different timelines, run parallel tracks that converge when data justifies convergence.</w:t>
      </w:r>
    </w:p>
    <w:p>
      <w:pPr>
        <w:pStyle w:val="Heading1"/>
      </w:pPr>
      <w:r>
        <w:rPr>
          <w:rFonts w:ascii="Arial" w:cs="Arial" w:eastAsia="Arial" w:hAnsi="Arial"/>
        </w:rPr>
        <w:t xml:space="preserve">7. Pivot 6: The Platform Inversion</w:t>
      </w:r>
    </w:p>
    <w:p>
      <w:pPr>
        <w:spacing w:after="200"/>
      </w:pPr>
      <w:r>
        <w:rPr>
          <w:rFonts w:ascii="Arial" w:cs="Arial" w:eastAsia="Arial" w:hAnsi="Arial"/>
          <w:sz w:val="24"/>
          <w:szCs w:val="24"/>
        </w:rPr>
        <w:t xml:space="preserve">Then the insight that changed everything: </w:t>
      </w:r>
      <w:r>
        <w:rPr>
          <w:rFonts w:ascii="Arial" w:cs="Arial" w:eastAsia="Arial" w:hAnsi="Arial"/>
          <w:b/>
          <w:bCs/>
          <w:sz w:val="24"/>
          <w:szCs w:val="24"/>
        </w:rPr>
        <w:t xml:space="preserve">if OpenClaw is the new operating system, TutorClaw is just an app you install on it.</w:t>
      </w:r>
      <w:r>
        <w:rPr>
          <w:rFonts w:ascii="Arial" w:cs="Arial" w:eastAsia="Arial" w:hAnsi="Arial"/>
          <w:sz w:val="24"/>
          <w:szCs w:val="24"/>
        </w:rPr>
        <w:t xml:space="preserve"/>
      </w:r>
    </w:p>
    <w:p>
      <w:pPr>
        <w:spacing w:after="200"/>
      </w:pPr>
      <w:r>
        <w:rPr>
          <w:rFonts w:ascii="Arial" w:cs="Arial" w:eastAsia="Arial" w:hAnsi="Arial"/>
          <w:sz w:val="24"/>
          <w:szCs w:val="24"/>
        </w:rPr>
        <w:t xml:space="preserve">Jensen Huang literally said: “Mac and Windows are the operating systems for the personal computer. OpenClaw is the operating system for personal AI.” What if we took him at his word?</w:t>
      </w:r>
    </w:p>
    <w:p>
      <w:pPr>
        <w:spacing w:after="200"/>
      </w:pPr>
      <w:r>
        <w:rPr>
          <w:rFonts w:ascii="Arial" w:cs="Arial" w:eastAsia="Arial" w:hAnsi="Arial"/>
          <w:sz w:val="24"/>
          <w:szCs w:val="24"/>
        </w:rPr>
        <w:t xml:space="preserve">If every PIAIC learner has OpenClaw (a course prerequisite, like installing Python), then Panaversity doesn’t need to build infrastructure at all. The learner’s machine IS the infrastructure. Their OpenClaw IS the messaging gateway. Their API key IS the LLM. All Panaversity needs to provide is the intelligence.</w:t>
      </w:r>
    </w:p>
    <w:p>
      <w:pPr>
        <w:spacing w:after="200"/>
      </w:pPr>
      <w:r>
        <w:rPr>
          <w:rFonts w:ascii="Arial" w:cs="Arial" w:eastAsia="Arial" w:hAnsi="Arial"/>
          <w:sz w:val="24"/>
          <w:szCs w:val="24"/>
        </w:rPr>
        <w:t xml:space="preserve">But intelligence delivered as a Markdown skill has an IP problem: skills are plain text that anyone can copy. REST API calls from Markdown fail 30–40% of the time on non-frontier models. And a Markdown skill can’t execute code.</w:t>
      </w:r>
    </w:p>
    <w:p>
      <w:pPr>
        <w:spacing w:after="200"/>
      </w:pPr>
      <w:r>
        <w:rPr>
          <w:rFonts w:ascii="Arial" w:cs="Arial" w:eastAsia="Arial" w:hAnsi="Arial"/>
          <w:sz w:val="24"/>
          <w:szCs w:val="24"/>
        </w:rPr>
        <w:t xml:space="preserve">The resolution: </w:t>
      </w:r>
      <w:r>
        <w:rPr>
          <w:rFonts w:ascii="Arial" w:cs="Arial" w:eastAsia="Arial" w:hAnsi="Arial"/>
          <w:b/>
          <w:bCs/>
          <w:sz w:val="24"/>
          <w:szCs w:val="24"/>
        </w:rPr>
        <w:t xml:space="preserve">TutorClaw as an MCP server.</w:t>
      </w:r>
      <w:r>
        <w:rPr>
          <w:rFonts w:ascii="Arial" w:cs="Arial" w:eastAsia="Arial" w:hAnsi="Arial"/>
          <w:sz w:val="24"/>
          <w:szCs w:val="24"/>
        </w:rPr>
        <w:t xml:space="preserve"> The Model Context Protocol is OpenClaw’s native tool interface. Every skill on ClawHub is already an MCP server. TutorClaw becomes a remote MCP server that OpenClaw connects to via SSE. The learner runs clawhub install panaversity/tutorclaw. Their agent discovers nine structured tools (get_learner_state, get_chapter_content, get_pedagogical_guidance, submit_code, etc.) and calls them natively.</w:t>
      </w:r>
    </w:p>
    <w:p>
      <w:pPr>
        <w:spacing w:after="200"/>
      </w:pPr>
      <w:r>
        <w:rPr>
          <w:rFonts w:ascii="Arial" w:cs="Arial" w:eastAsia="Arial" w:hAnsi="Arial"/>
          <w:sz w:val="24"/>
          <w:szCs w:val="24"/>
        </w:rPr>
        <w:t xml:space="preserve">Everything goes into the MCP server: all pedagogical intelligence, code execution, assessment, monetization gating. Content lives on Cloudflare R2 with a Worker gate (zero egress, free tier). A thin Markdown shim skill provides offline PRIMM-Lite fallback for the free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economics are transformative.</w:t>
      </w:r>
      <w:r>
        <w:rPr>
          <w:rFonts w:ascii="Arial" w:cs="Arial" w:eastAsia="Arial" w:hAnsi="Arial"/>
          <w:sz w:val="24"/>
          <w:szCs w:val="24"/>
        </w:rPr>
        <w:t xml:space="preserve"> LLM cost to Panaversity: $0 (learner pays). Infrastructure: $50–70/month. Revenue: $15,750/month. Gross margin: 99.5%. Code execution: yes (server-side sandbox via MCP submit_code tool). IP protection: absolute (MCP server is a black box).</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 we learned:</w:t>
      </w:r>
      <w:r>
        <w:rPr>
          <w:rFonts w:ascii="Arial" w:cs="Arial" w:eastAsia="Arial" w:hAnsi="Arial"/>
          <w:sz w:val="24"/>
          <w:szCs w:val="24"/>
        </w:rPr>
        <w:t xml:space="preserve"> The most powerful architectural decision is not choosing the best technology—it is questioning whether you need to build infrastructure at all. Every previous architecture assumed Panaversity must serve learners. Architecture 4 asks: what if learners serve themselves, and Panaversity just provides the intelligence?</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w:t>
      </w:r>
      <w:r>
        <w:rPr>
          <w:rFonts w:ascii="Arial" w:cs="Arial" w:eastAsia="Arial" w:hAnsi="Arial"/>
          <w:sz w:val="24"/>
          <w:szCs w:val="24"/>
        </w:rPr>
        <w:t xml:space="preserve"> Before designing infrastructure, ask: “Can I shift the infrastructure responsibility to the user while providing more value, not less?” If the user’s platform (OpenClaw) is better infrastructure than what you’d build (custom Brain, NanoClaw containers), let them use it.</w:t>
      </w:r>
    </w:p>
    <w:p>
      <w:pPr>
        <w:pStyle w:val="Heading1"/>
      </w:pPr>
      <w:r>
        <w:rPr>
          <w:rFonts w:ascii="Arial" w:cs="Arial" w:eastAsia="Arial" w:hAnsi="Arial"/>
        </w:rPr>
        <w:t xml:space="preserve">8. What Survived All Six Pivots</w:t>
      </w:r>
    </w:p>
    <w:p>
      <w:pPr>
        <w:spacing w:after="200"/>
      </w:pPr>
      <w:r>
        <w:rPr>
          <w:rFonts w:ascii="Arial" w:cs="Arial" w:eastAsia="Arial" w:hAnsi="Arial"/>
          <w:sz w:val="24"/>
          <w:szCs w:val="24"/>
        </w:rPr>
        <w:t xml:space="preserve">Some components proved so fundamental that they survived every architectural change:</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PRIMM-AI+ pedagogical framework.</w:t>
      </w:r>
      <w:r>
        <w:rPr>
          <w:rFonts w:ascii="Arial" w:cs="Arial" w:eastAsia="Arial" w:hAnsi="Arial"/>
          <w:sz w:val="24"/>
          <w:szCs w:val="24"/>
        </w:rPr>
        <w:t xml:space="preserve"> From OpenClaw skill to Custom Brain system prompt to NanoClaw skill to MCP server’s get_pedagogical_guidance tool—the nine enhancements, Verification Ladder, Error Taxonomy, and confidence scoring transferred intact across every architecture. The pedagogy is the product. Everything else is plumbing.</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30-chapter curriculum.</w:t>
      </w:r>
      <w:r>
        <w:rPr>
          <w:rFonts w:ascii="Arial" w:cs="Arial" w:eastAsia="Arial" w:hAnsi="Arial"/>
          <w:sz w:val="24"/>
          <w:szCs w:val="24"/>
        </w:rPr>
        <w:t xml:space="preserve"> First conceived as embedded content, then as PostgreSQL records, then as mounted container files, and finally as Cloudflare R2 objects. The content migrated formats but the substance was unchanged.</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Stripe billing.</w:t>
      </w:r>
      <w:r>
        <w:rPr>
          <w:rFonts w:ascii="Arial" w:cs="Arial" w:eastAsia="Arial" w:hAnsi="Arial"/>
          <w:sz w:val="24"/>
          <w:szCs w:val="24"/>
        </w:rPr>
        <w:t xml:space="preserve"> The tier structure (free/paid/premium), pricing (PKR 500/3,000), and upgrade flow worked identically whether the gate was in a FastAPI endpoint, a NanoClaw container, or an MCP tool. Payment infrastructure is truly portable.</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tiered access model.</w:t>
      </w:r>
      <w:r>
        <w:rPr>
          <w:rFonts w:ascii="Arial" w:cs="Arial" w:eastAsia="Arial" w:hAnsi="Arial"/>
          <w:sz w:val="24"/>
          <w:szCs w:val="24"/>
        </w:rPr>
        <w:t xml:space="preserve"> Free gets PRIMM-Lite and chapters 1–5. Paid gets full PRIMM-AI+ and all chapters. Premium gets personalization and human escalation. This survived every pivot because it’s a business decision, not a technical one.</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lesson:</w:t>
      </w:r>
      <w:r>
        <w:rPr>
          <w:rFonts w:ascii="Arial" w:cs="Arial" w:eastAsia="Arial" w:hAnsi="Arial"/>
          <w:sz w:val="24"/>
          <w:szCs w:val="24"/>
        </w:rPr>
        <w:t xml:space="preserve"> When building any system, identify which components are invariant (pedagogy, content, pricing) and which are variant (infrastructure, delivery mechanism, model routing). Design the invariants to be portable across architectures. That way, when you pivot—and you will pivot—you carry your core value forward.</w:t>
      </w:r>
    </w:p>
    <w:p>
      <w:pPr>
        <w:pStyle w:val="Heading1"/>
      </w:pPr>
      <w:r>
        <w:rPr>
          <w:rFonts w:ascii="Arial" w:cs="Arial" w:eastAsia="Arial" w:hAnsi="Arial"/>
        </w:rPr>
        <w:t xml:space="preserve">9. Eight Meta-Lessons from Six Pivots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1: Layers, not monoliths.</w:t>
      </w:r>
      <w:r>
        <w:rPr>
          <w:rFonts w:ascii="Arial" w:cs="Arial" w:eastAsia="Arial" w:hAnsi="Arial"/>
          <w:sz w:val="24"/>
          <w:szCs w:val="24"/>
        </w:rPr>
        <w:t xml:space="preserve"> Structure your system so each layer can be replaced independently. Our messaging, intelligence, content, storage, and billing layers were all independent. We replaced the messaging layer (Pivot 3), the intelligence layer (Pivot 4), and the entire infrastructure model (Pivot 6) without touching billing or content.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2: Ship before you optimize.</w:t>
      </w:r>
      <w:r>
        <w:rPr>
          <w:rFonts w:ascii="Arial" w:cs="Arial" w:eastAsia="Arial" w:hAnsi="Arial"/>
          <w:sz w:val="24"/>
          <w:szCs w:val="24"/>
        </w:rPr>
        <w:t xml:space="preserve"> A working tutor that teaches 16,000 learners imperfectly is infinitely more valuable than a perfect tutor that exists only in a design document.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3: Question the assumption that you must build infrastructure.</w:t>
      </w:r>
      <w:r>
        <w:rPr>
          <w:rFonts w:ascii="Arial" w:cs="Arial" w:eastAsia="Arial" w:hAnsi="Arial"/>
          <w:sz w:val="24"/>
          <w:szCs w:val="24"/>
        </w:rPr>
        <w:t xml:space="preserve"> The biggest cost reduction came not from optimizing infrastructure but from eliminating it entirely (Pivot 6). Every previous architecture asked “how do we serve learners?” Architecture 4 asked “what if learners serve themselves?”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4: The model is 90% of your cost—until you invert the model.</w:t>
      </w:r>
      <w:r>
        <w:rPr>
          <w:rFonts w:ascii="Arial" w:cs="Arial" w:eastAsia="Arial" w:hAnsi="Arial"/>
          <w:sz w:val="24"/>
          <w:szCs w:val="24"/>
        </w:rPr>
        <w:t xml:space="preserve"> In Architectures 1–3, LLM costs dominated everything. In Architecture 4, LLM cost is zero because the learner pays. The 90/10 rule was true, but the correct response was not to optimize the 90%—it was to shift it off your balance sheet entirely.</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5: Security is a layer, not a feature.</w:t>
      </w:r>
      <w:r>
        <w:rPr>
          <w:rFonts w:ascii="Arial" w:cs="Arial" w:eastAsia="Arial" w:hAnsi="Arial"/>
          <w:sz w:val="24"/>
          <w:szCs w:val="24"/>
        </w:rPr>
        <w:t xml:space="preserve"> Architecture 1’s security depended on code correctness. Architecture 2’s depended on OS isolation. Architecture 4’s depends on the MCP protocol: the learner’s OpenClaw never sees the server’s implementation. Each pivot improved the security model.</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6: Hype is not architecture.</w:t>
      </w:r>
      <w:r>
        <w:rPr>
          <w:rFonts w:ascii="Arial" w:cs="Arial" w:eastAsia="Arial" w:hAnsi="Arial"/>
          <w:sz w:val="24"/>
          <w:szCs w:val="24"/>
        </w:rPr>
        <w:t xml:space="preserve"> OpenClaw at GTC was the most exciting announcement of the month. It was also the wrong foundation for multi-tenant delivery (Pivot 3). But it became the right foundation for the final architecture (Pivot 6)—not as infrastructure we build on, but as infrastructure learners already have.</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7: The book and the product inform each other.</w:t>
      </w:r>
      <w:r>
        <w:rPr>
          <w:rFonts w:ascii="Arial" w:cs="Arial" w:eastAsia="Arial" w:hAnsi="Arial"/>
          <w:sz w:val="24"/>
          <w:szCs w:val="24"/>
        </w:rPr>
        <w:t xml:space="preserve"> Teaching NanoClaw-native architecture in the book (Pivot 4–5) forced us to understand container orchestration deeply enough to realize we didn’t need it (Pivot 6). The book’s rigor improved the product’s architecture.</w:t>
      </w:r>
    </w:p>
    <w:p>
      <w:pPr>
        <w:spacing w:after="200"/>
      </w:pPr>
      <w:r>
        <w:rPr>
          <w:rFonts w:ascii="Arial" w:cs="Arial" w:eastAsia="Arial" w:hAnsi="Arial"/>
          <w:sz w:val="24"/>
          <w:szCs w:val="24"/>
        </w:rPr>
        <w:t xml:space="preserve"/>
      </w:r>
      <w:r>
        <w:rPr>
          <w:rFonts w:ascii="Arial" w:cs="Arial" w:eastAsia="Arial" w:hAnsi="Arial"/>
          <w:b/>
          <w:bCs/>
          <w:sz w:val="24"/>
          <w:szCs w:val="24"/>
        </w:rPr>
        <w:t xml:space="preserve">Lesson 8: Document your decisions.</w:t>
      </w:r>
      <w:r>
        <w:rPr>
          <w:rFonts w:ascii="Arial" w:cs="Arial" w:eastAsia="Arial" w:hAnsi="Arial"/>
          <w:sz w:val="24"/>
          <w:szCs w:val="24"/>
        </w:rPr>
        <w:t xml:space="preserve"> This chapter exists because we documented every pivot as it happened, including reasoning that later proved wrong. That documentation is more valuable than the final architecture diagram because it teaches the process, not just the result.</w:t>
      </w:r>
    </w:p>
    <w:p>
      <w:pPr>
        <w:pStyle w:val="Heading1"/>
      </w:pPr>
      <w:r>
        <w:rPr>
          <w:rFonts w:ascii="Arial" w:cs="Arial" w:eastAsia="Arial" w:hAnsi="Arial"/>
        </w:rPr>
        <w:t xml:space="preserve">10. Exercises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1: Architectural Autopsy.</w:t>
      </w:r>
      <w:r>
        <w:rPr>
          <w:rFonts w:ascii="Arial" w:cs="Arial" w:eastAsia="Arial" w:hAnsi="Arial"/>
          <w:sz w:val="24"/>
          <w:szCs w:val="24"/>
        </w:rPr>
        <w:t xml:space="preserve"> Choose a well-known software project (Kubernetes, Docker, Git, VS Code, or an open-source AI project). Research its architectural history. Identify at least three major pivots. For each, document: what was before, what triggered the change, what became, and what survived.</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2: The Infrastructure Inversion.</w:t>
      </w:r>
      <w:r>
        <w:rPr>
          <w:rFonts w:ascii="Arial" w:cs="Arial" w:eastAsia="Arial" w:hAnsi="Arial"/>
          <w:sz w:val="24"/>
          <w:szCs w:val="24"/>
        </w:rPr>
        <w:t xml:space="preserve"> Take TutorClaw’s Architecture 4 and apply the same inversion to a different product: a customer support bot for an e-commerce company. Can the customer run the agent on their own OpenClaw? What would the MCP server expose? What would be the shim skill? What would live on R2? Write a one-page architecture.</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3: The Ship-or-Wait Decision.</w:t>
      </w:r>
      <w:r>
        <w:rPr>
          <w:rFonts w:ascii="Arial" w:cs="Arial" w:eastAsia="Arial" w:hAnsi="Arial"/>
          <w:sz w:val="24"/>
          <w:szCs w:val="24"/>
        </w:rPr>
        <w:t xml:space="preserve"> You are building an AI coding assistant. Architecture A uses direct API calls (ships in 2 weeks, no code execution). Architecture B uses an MCP server (ships in 4 weeks, has code execution). Your potential user base is 500 developers. Write a decision memo recommending A, B, or Hybrid. Include the data points you’d collect in Phase 1 to inform the decision.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4: Cost Modeling Across Architectures.</w:t>
      </w:r>
      <w:r>
        <w:rPr>
          <w:rFonts w:ascii="Arial" w:cs="Arial" w:eastAsia="Arial" w:hAnsi="Arial"/>
          <w:sz w:val="24"/>
          <w:szCs w:val="24"/>
        </w:rPr>
        <w:t xml:space="preserve"> Using the Economics Stack chapter’s pricing data, model total cost for an AI product with 1,000, 10,000, and 100,000 users across: (a) traditional SaaS where you pay for LLM tokens, and (b) inverted model where users provide their own LLM via OpenClaw. At what scale does the inversion become essential? Is there a scale where traditional is actually cheaper?</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5: Build Both (Capstone).</w:t>
      </w:r>
      <w:r>
        <w:rPr>
          <w:rFonts w:ascii="Arial" w:cs="Arial" w:eastAsia="Arial" w:hAnsi="Arial"/>
          <w:sz w:val="24"/>
          <w:szCs w:val="24"/>
        </w:rPr>
        <w:t xml:space="preserve"> Build TutorClaw in two forms: (a) Architecture 1 — a FastAPI service that takes a user message, calls OpenRouter, and returns a response using the PRIMM-AI+ system prompt. (b) Architecture 4 — a simple MCP server (using the Python MCP SDK) with three tools: get_chapter_content (returns hardcoded chapter text), get_guidance (returns PRIMM-Lite instructions), and submit_code (runs Python code in a subprocess and returns output). Connect the MCP server to your local OpenClaw. Compare: which produces a better learning experience? Which was easier to build? Which would you deploy to 16,000 learners?</w:t>
      </w:r>
    </w:p>
    <w:p>
      <w:pPr>
        <w:pStyle w:val="Heading1"/>
      </w:pPr>
      <w:r>
        <w:rPr>
          <w:rFonts w:ascii="Arial" w:cs="Arial" w:eastAsia="Arial" w:hAnsi="Arial"/>
        </w:rPr>
        <w:t xml:space="preserve">11. Chapter Summary</w:t>
      </w:r>
    </w:p>
    <w:p>
      <w:pPr>
        <w:spacing w:after="200"/>
      </w:pPr>
      <w:r>
        <w:rPr>
          <w:rFonts w:ascii="Arial" w:cs="Arial" w:eastAsia="Arial" w:hAnsi="Arial"/>
          <w:sz w:val="24"/>
          <w:szCs w:val="24"/>
        </w:rPr>
        <w:t xml:space="preserve">Architecture in the real world is not a single decision—it is a sequence of decisions, each informed by the failures and successes of the previous one. TutorClaw went through six pivots and arrived at an MCP-first architecture where the learner’s OpenClaw is the platform, a remote MCP server is the intelligence, Cloudflare R2 is the content layer, and a thin shim skill is the offline fallback.</w:t>
      </w:r>
    </w:p>
    <w:p>
      <w:pPr>
        <w:spacing w:after="200"/>
      </w:pPr>
      <w:r>
        <w:rPr>
          <w:rFonts w:ascii="Arial" w:cs="Arial" w:eastAsia="Arial" w:hAnsi="Arial"/>
          <w:sz w:val="24"/>
          <w:szCs w:val="24"/>
        </w:rPr>
        <w:t xml:space="preserve">The six pivots taught eight meta-lessons: build in layers, ship before you optimize, question whether you need infrastructure at all, understand where your costs really come from, treat security as a layer, don’t follow hype, let the book and product inform each other, and document your decisions.</w:t>
      </w:r>
    </w:p>
    <w:p>
      <w:pPr>
        <w:spacing w:after="200"/>
      </w:pPr>
      <w:r>
        <w:rPr>
          <w:rFonts w:ascii="Arial" w:cs="Arial" w:eastAsia="Arial" w:hAnsi="Arial"/>
          <w:sz w:val="24"/>
          <w:szCs w:val="24"/>
        </w:rPr>
        <w:t xml:space="preserve">The most important lesson is the simplest: </w:t>
      </w:r>
      <w:r>
        <w:rPr>
          <w:rFonts w:ascii="Arial" w:cs="Arial" w:eastAsia="Arial" w:hAnsi="Arial"/>
          <w:b/>
          <w:bCs/>
          <w:sz w:val="24"/>
          <w:szCs w:val="24"/>
        </w:rPr>
        <w:t xml:space="preserve">the best architecture is the one you ship, learn from, and improve.</w:t>
      </w:r>
      <w:r>
        <w:rPr>
          <w:rFonts w:ascii="Arial" w:cs="Arial" w:eastAsia="Arial" w:hAnsi="Arial"/>
          <w:sz w:val="24"/>
          <w:szCs w:val="24"/>
        </w:rPr>
        <w:t xml:space="preserve"> Not the one that scores highest in a theoretical comparison. The one that puts your product in users’ hands, generates data, and positions you to make better decisions tomorrow.</w:t>
      </w:r>
    </w:p>
    <w:p>
      <w:pPr>
        <w:spacing w:after="200"/>
      </w:pPr>
      <w:r>
        <w:rPr>
          <w:rFonts w:ascii="Arial" w:cs="Arial" w:eastAsia="Arial" w:hAnsi="Arial"/>
          <w:sz w:val="24"/>
          <w:szCs w:val="24"/>
        </w:rPr>
        <w:t xml:space="preserve">TutorClaw’s final architecture—an MCP server on $60/month serving unlimited learners at 99.5% margins—was not the first design. It was the sixth. Every pivot was necessary. Every dead end taught something. The journey is the curriculum.</w:t>
      </w:r>
    </w:p>
    <w:p>
      <w:pPr>
        <w:spacing w:after="200"/>
      </w:pPr>
      <w:r>
        <w:rPr>
          <w:rFonts w:ascii="Arial" w:cs="Arial" w:eastAsia="Arial" w:hAnsi="Arial"/>
          <w:i/>
          <w:iCs/>
          <w:sz w:val="24"/>
          <w:szCs w:val="24"/>
        </w:rPr>
        <w:t xml:space="preserve">Ship first. Learn always. Pivot when the data demands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AI Agent Factory | Architecture Decisions in the Real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2026-03-18T06:48:20.908Z</dcterms:created>
  <dcterms:modified xsi:type="dcterms:W3CDTF">2026-03-18T06:48:20.909Z</dcterms:modified>
</cp:coreProperties>
</file>

<file path=docProps/custom.xml><?xml version="1.0" encoding="utf-8"?>
<Properties xmlns="http://schemas.openxmlformats.org/officeDocument/2006/custom-properties" xmlns:vt="http://schemas.openxmlformats.org/officeDocument/2006/docPropsVTypes"/>
</file>