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right"/>
        <w:rPr>
          <w:rFonts w:ascii="Calibri" w:cs="Calibri" w:eastAsia="Calibri" w:hAnsi="Calibri"/>
          <w:b w:val="1"/>
          <w:bCs w:val="1"/>
          <w:sz w:val="48"/>
          <w:szCs w:val="4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48"/>
          <w:szCs w:val="48"/>
          <w:rtl w:val="0"/>
        </w:rPr>
        <w:t xml:space="preserve">Minuta de Control de Programación</w:t>
      </w:r>
    </w:p>
    <w:p w:rsidR="00000000" w:rsidDel="00000000" w:rsidP="00000000" w:rsidRDefault="00000000" w:rsidRPr="00000000" w14:paraId="0000000F">
      <w:pPr>
        <w:jc w:val="right"/>
        <w:rPr>
          <w:rFonts w:ascii="Calibri" w:cs="Calibri" w:eastAsia="Calibri" w:hAnsi="Calibri"/>
          <w:b w:val="1"/>
          <w:bCs w:val="1"/>
          <w:i w:val="1"/>
          <w:iCs w:val="1"/>
          <w:color w:val="365f91"/>
          <w:sz w:val="40"/>
          <w:szCs w:val="4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365f91"/>
          <w:sz w:val="40"/>
          <w:szCs w:val="40"/>
          <w:rtl w:val="0"/>
        </w:rPr>
        <w:t xml:space="preserve">JobFlex - Plataforma de Empleo Multiperfil</w:t>
      </w:r>
    </w:p>
    <w:p w:rsidR="00000000" w:rsidDel="00000000" w:rsidP="00000000" w:rsidRDefault="00000000" w:rsidRPr="00000000" w14:paraId="00000010">
      <w:pPr>
        <w:jc w:val="right"/>
        <w:rPr>
          <w:rFonts w:ascii="Calibri" w:cs="Calibri" w:eastAsia="Calibri" w:hAnsi="Calibri"/>
          <w:b w:val="1"/>
          <w:bCs w:val="1"/>
          <w:i w:val="1"/>
          <w:iCs w:val="1"/>
          <w:color w:val="365f9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36"/>
          <w:szCs w:val="36"/>
          <w:rtl w:val="0"/>
        </w:rPr>
        <w:t xml:space="preserve">Fecha: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365f91"/>
          <w:sz w:val="36"/>
          <w:szCs w:val="36"/>
          <w:rtl w:val="0"/>
        </w:rPr>
        <w:t xml:space="preserve"> 1/10/2025</w:t>
      </w:r>
    </w:p>
    <w:p w:rsidR="00000000" w:rsidDel="00000000" w:rsidP="00000000" w:rsidRDefault="00000000" w:rsidRPr="00000000" w14:paraId="00000011">
      <w:pPr>
        <w:jc w:val="right"/>
        <w:rPr>
          <w:rFonts w:ascii="Calibri" w:cs="Calibri" w:eastAsia="Calibri" w:hAnsi="Calibri"/>
          <w:b w:val="1"/>
          <w:bCs w:val="1"/>
          <w:i w:val="1"/>
          <w:iCs w:val="1"/>
          <w:color w:val="365f9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28"/>
          <w:szCs w:val="28"/>
          <w:rtl w:val="0"/>
        </w:rPr>
        <w:t xml:space="preserve">Versión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365f91"/>
          <w:sz w:val="28"/>
          <w:szCs w:val="28"/>
          <w:rtl w:val="0"/>
        </w:rPr>
        <w:t xml:space="preserve">: 1.0</w:t>
      </w:r>
    </w:p>
    <w:p w:rsidR="00000000" w:rsidDel="00000000" w:rsidP="00000000" w:rsidRDefault="00000000" w:rsidRPr="00000000" w14:paraId="00000012">
      <w:pPr>
        <w:jc w:val="right"/>
        <w:rPr>
          <w:rFonts w:ascii="Calibri" w:cs="Calibri" w:eastAsia="Calibri" w:hAnsi="Calibri"/>
          <w:b w:val="1"/>
          <w:bCs w:val="1"/>
          <w:i w:val="1"/>
          <w:iCs w:val="1"/>
          <w:color w:val="365f9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28"/>
          <w:szCs w:val="28"/>
          <w:rtl w:val="0"/>
        </w:rPr>
        <w:t xml:space="preserve">Estado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365f91"/>
          <w:sz w:val="28"/>
          <w:szCs w:val="28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1f497d"/>
          <w:sz w:val="28"/>
          <w:szCs w:val="28"/>
          <w:rtl w:val="0"/>
        </w:rPr>
        <w:t xml:space="preserve">Aprobado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right"/>
        <w:rPr>
          <w:rFonts w:ascii="Calibri" w:cs="Calibri" w:eastAsia="Calibri" w:hAnsi="Calibri"/>
          <w:b w:val="1"/>
          <w:bCs w:val="1"/>
          <w:i w:val="1"/>
          <w:iCs w:val="1"/>
          <w:color w:val="365f9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right"/>
        <w:rPr>
          <w:rFonts w:ascii="Calibri" w:cs="Calibri" w:eastAsia="Calibri" w:hAnsi="Calibri"/>
          <w:b w:val="1"/>
          <w:bCs w:val="1"/>
          <w:i w:val="1"/>
          <w:iCs w:val="1"/>
          <w:color w:val="365f9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right"/>
        <w:rPr>
          <w:rFonts w:ascii="Calibri" w:cs="Calibri" w:eastAsia="Calibri" w:hAnsi="Calibri"/>
          <w:b w:val="1"/>
          <w:bCs w:val="1"/>
          <w:i w:val="1"/>
          <w:iCs w:val="1"/>
          <w:color w:val="365f9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right"/>
        <w:rPr>
          <w:rFonts w:ascii="Calibri" w:cs="Calibri" w:eastAsia="Calibri" w:hAnsi="Calibri"/>
          <w:b w:val="1"/>
          <w:bCs w:val="1"/>
          <w:i w:val="1"/>
          <w:iCs w:val="1"/>
          <w:color w:val="365f9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right"/>
        <w:rPr>
          <w:rFonts w:ascii="Calibri" w:cs="Calibri" w:eastAsia="Calibri" w:hAnsi="Calibri"/>
          <w:b w:val="1"/>
          <w:bCs w:val="1"/>
          <w:i w:val="1"/>
          <w:iCs w:val="1"/>
          <w:color w:val="365f9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right"/>
        <w:rPr>
          <w:rFonts w:ascii="Calibri" w:cs="Calibri" w:eastAsia="Calibri" w:hAnsi="Calibri"/>
          <w:b w:val="1"/>
          <w:bCs w:val="1"/>
          <w:i w:val="1"/>
          <w:iCs w:val="1"/>
          <w:color w:val="365f9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right"/>
        <w:rPr>
          <w:rFonts w:ascii="Calibri" w:cs="Calibri" w:eastAsia="Calibri" w:hAnsi="Calibri"/>
          <w:b w:val="1"/>
          <w:bCs w:val="1"/>
          <w:i w:val="1"/>
          <w:iCs w:val="1"/>
          <w:color w:val="365f9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right"/>
        <w:rPr>
          <w:rFonts w:ascii="Calibri" w:cs="Calibri" w:eastAsia="Calibri" w:hAnsi="Calibri"/>
          <w:b w:val="1"/>
          <w:bCs w:val="1"/>
          <w:i w:val="1"/>
          <w:iCs w:val="1"/>
          <w:color w:val="365f9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right"/>
        <w:rPr>
          <w:rFonts w:ascii="Calibri" w:cs="Calibri" w:eastAsia="Calibri" w:hAnsi="Calibri"/>
          <w:b w:val="1"/>
          <w:bCs w:val="1"/>
          <w:i w:val="1"/>
          <w:iCs w:val="1"/>
          <w:color w:val="365f9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right"/>
        <w:rPr>
          <w:rFonts w:ascii="Calibri" w:cs="Calibri" w:eastAsia="Calibri" w:hAnsi="Calibri"/>
          <w:b w:val="1"/>
          <w:bCs w:val="1"/>
          <w:i w:val="1"/>
          <w:iCs w:val="1"/>
          <w:color w:val="365f9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right"/>
        <w:rPr>
          <w:rFonts w:ascii="Calibri" w:cs="Calibri" w:eastAsia="Calibri" w:hAnsi="Calibri"/>
          <w:b w:val="1"/>
          <w:bCs w:val="1"/>
          <w:i w:val="1"/>
          <w:iCs w:val="1"/>
          <w:color w:val="365f9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right"/>
        <w:rPr>
          <w:rFonts w:ascii="Calibri" w:cs="Calibri" w:eastAsia="Calibri" w:hAnsi="Calibri"/>
          <w:b w:val="1"/>
          <w:bCs w:val="1"/>
          <w:i w:val="1"/>
          <w:iCs w:val="1"/>
          <w:color w:val="365f9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right"/>
        <w:rPr>
          <w:rFonts w:ascii="Calibri" w:cs="Calibri" w:eastAsia="Calibri" w:hAnsi="Calibri"/>
          <w:b w:val="1"/>
          <w:bCs w:val="1"/>
          <w:i w:val="1"/>
          <w:iCs w:val="1"/>
          <w:color w:val="365f9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40" w:lineRule="auto"/>
        <w:jc w:val="both"/>
        <w:rPr>
          <w:rFonts w:ascii="Calibri" w:cs="Calibri" w:eastAsia="Calibri" w:hAnsi="Calibri"/>
          <w:b w:val="1"/>
          <w:bCs w:val="1"/>
          <w:i w:val="1"/>
          <w:iCs w:val="1"/>
          <w:color w:val="365f9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66091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66091"/>
          <w:sz w:val="32"/>
          <w:szCs w:val="32"/>
          <w:u w:val="none"/>
          <w:shd w:fill="auto" w:val="clear"/>
          <w:vertAlign w:val="baseline"/>
          <w:rtl w:val="0"/>
        </w:rPr>
        <w:t xml:space="preserve">Tabla de contenido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Introducción y Contexto…………………………………………………………………………………………………2</w:t>
      </w:r>
    </w:p>
    <w:p w:rsidR="00000000" w:rsidDel="00000000" w:rsidP="00000000" w:rsidRDefault="00000000" w:rsidRPr="00000000" w14:paraId="00000024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Estado de Avance detallado por Módulo…………………………………………..……………………………2</w:t>
      </w:r>
    </w:p>
    <w:p w:rsidR="00000000" w:rsidDel="00000000" w:rsidP="00000000" w:rsidRDefault="00000000" w:rsidRPr="00000000" w14:paraId="00000025">
      <w:pPr>
        <w:ind w:left="0" w:firstLine="72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Módulo de Autenticación y Seguridad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…………………………………………..……………………..2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firstLine="72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Módulo de Gestión de Perfiles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…………………………………………..…………………………………2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firstLine="72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Módulo de Ofertas y Postulaciones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…………………………………………..………………………….2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firstLine="72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Módulo de Entrevistas y Agendamiento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…………………………………………..…………………..3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Gestión de Incidencias y Riesgos…………………………………………..………………………………………..3</w:t>
      </w:r>
    </w:p>
    <w:p w:rsidR="00000000" w:rsidDel="00000000" w:rsidP="00000000" w:rsidRDefault="00000000" w:rsidRPr="00000000" w14:paraId="0000002A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Cierre de Alcance Técnico e Integraciones.………………………..…………………………………………….4</w:t>
      </w:r>
    </w:p>
    <w:p w:rsidR="00000000" w:rsidDel="00000000" w:rsidP="00000000" w:rsidRDefault="00000000" w:rsidRPr="00000000" w14:paraId="0000002B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ab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Consolidación de Servicios Externos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……………………………………………………………………..4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ab/>
        <w:t xml:space="preserve">Optimización de Código y Base de Datos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……………………………………………………………….4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Aseguramiento de Calidad (QA)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…………………………………………………………………………….4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Conclusiones y Cierre de Control………………………………………..…………………………………………..5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40" w:lineRule="auto"/>
        <w:jc w:val="both"/>
        <w:rPr>
          <w:rFonts w:ascii="Calibri" w:cs="Calibri" w:eastAsia="Calibri" w:hAnsi="Calibri"/>
          <w:b w:val="1"/>
          <w:bCs w:val="1"/>
          <w:i w:val="1"/>
          <w:iCs w:val="1"/>
          <w:color w:val="365f9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240" w:lineRule="auto"/>
        <w:jc w:val="both"/>
        <w:rPr>
          <w:rFonts w:ascii="Calibri" w:cs="Calibri" w:eastAsia="Calibri" w:hAnsi="Calibri"/>
          <w:b w:val="1"/>
          <w:bCs w:val="1"/>
          <w:color w:val="365f9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65f91"/>
          <w:sz w:val="32"/>
          <w:szCs w:val="32"/>
          <w:rtl w:val="0"/>
        </w:rPr>
        <w:t xml:space="preserve">1. Introducción y Contexto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presente documento detalla el estado de avance técnico y funcional del proyecto JobFlex al cierre del ciclo de desarrollo actual. Este reporte consolida el progreso de los módulos críticos (Autenticación, Gestión de Perfiles, Ofertas Laborales y Postulaciones), identifica la deuda técnica acumulada y establece la hoja de ruta para la integración de servicios externos en la próxima iteración.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240" w:lineRule="auto"/>
        <w:jc w:val="both"/>
        <w:rPr>
          <w:rFonts w:ascii="Calibri" w:cs="Calibri" w:eastAsia="Calibri" w:hAnsi="Calibri"/>
          <w:b w:val="1"/>
          <w:bCs w:val="1"/>
          <w:color w:val="365f9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65f91"/>
          <w:sz w:val="32"/>
          <w:szCs w:val="32"/>
          <w:rtl w:val="0"/>
        </w:rPr>
        <w:t xml:space="preserve">2. Estado de Avance Detallado por Módulo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240" w:lineRule="auto"/>
        <w:jc w:val="both"/>
        <w:rPr>
          <w:rFonts w:ascii="Calibri" w:cs="Calibri" w:eastAsia="Calibri" w:hAnsi="Calibri"/>
          <w:b w:val="1"/>
          <w:bCs w:val="1"/>
          <w:color w:val="365f9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 continuación, se desglosa el progreso técnico, destacando componentes finalizados y terminados.</w:t>
      </w:r>
    </w:p>
    <w:p w:rsidR="00000000" w:rsidDel="00000000" w:rsidP="00000000" w:rsidRDefault="00000000" w:rsidRPr="00000000" w14:paraId="00000057">
      <w:pPr>
        <w:pStyle w:val="Heading4"/>
        <w:spacing w:after="0" w:lineRule="auto"/>
        <w:jc w:val="both"/>
        <w:rPr>
          <w:rFonts w:ascii="Calibri" w:cs="Calibri" w:eastAsia="Calibri" w:hAnsi="Calibri"/>
          <w:b w:val="1"/>
          <w:bCs w:val="1"/>
          <w:color w:val="00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2.1. Módulo de Autenticación y Seguridad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76" w:lineRule="auto"/>
        <w:ind w:left="72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Estado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Completado (100%)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Descripción Técnica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Se ha implementado un sistema de autenticación robusto utilizando Django Allauth. La seguridad se ha reforzado mediante la integración de Google OAuth 2.0 para el inicio de sesión social y un mecanismo de Doble Factor de Autenticación (2FA) basado en códigos de correo electrónico temporales, gestionados a través de sesiones y modelos de usuario extendidos (RegistroUsuarios).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Componentes Entregados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Vistas de Login/Registro, Flujo de recuperación de contraseña, Middleware de seguridad y Templates de correo transaccional.</w:t>
      </w:r>
    </w:p>
    <w:p w:rsidR="00000000" w:rsidDel="00000000" w:rsidP="00000000" w:rsidRDefault="00000000" w:rsidRPr="00000000" w14:paraId="0000005B">
      <w:pPr>
        <w:pStyle w:val="Heading4"/>
        <w:spacing w:after="0" w:lineRule="auto"/>
        <w:jc w:val="both"/>
        <w:rPr>
          <w:rFonts w:ascii="Calibri" w:cs="Calibri" w:eastAsia="Calibri" w:hAnsi="Calibri"/>
          <w:b w:val="1"/>
          <w:bCs w:val="1"/>
          <w:color w:val="00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2.2. Módulo de Gestión de Perfiles (Empresa y Candidato)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76" w:lineRule="auto"/>
        <w:ind w:left="72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Estado: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Completado (100%)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Descripción Técnica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Arquitectura de modelos relacionales implementada para soportar perfiles diferenciados.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Empresas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Integración con base de datos externa (MySQL) para validación de RUT mediante el script de carga masiva.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Candidatos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Sistema de gestión de CVs dual (CV estructurado en base de datos vs. CV en archivo PDF almacenado en AWS S3).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Validaciones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Reglas de negocio implementadas para impedir la duplicidad de RUTs y correos electrónicos.</w:t>
      </w:r>
    </w:p>
    <w:p w:rsidR="00000000" w:rsidDel="00000000" w:rsidP="00000000" w:rsidRDefault="00000000" w:rsidRPr="00000000" w14:paraId="00000061">
      <w:pPr>
        <w:pStyle w:val="Heading4"/>
        <w:spacing w:after="0" w:lineRule="auto"/>
        <w:jc w:val="both"/>
        <w:rPr>
          <w:rFonts w:ascii="Calibri" w:cs="Calibri" w:eastAsia="Calibri" w:hAnsi="Calibri"/>
          <w:b w:val="1"/>
          <w:bCs w:val="1"/>
          <w:color w:val="00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2.3. Módulo de Ofertas y Postulaciones (Core Business)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76" w:lineRule="auto"/>
        <w:ind w:left="72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Estado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Completado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100%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Descripción Técnica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Ofertas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CRUD de vacantes opera con integridad referencial total, permitiendo la categorización dinámica por Jornada, Modalidad y Región/Ciudad normalizadas.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Postulaciones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tablero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Kanban interactivo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está plenamente operativo, permitiendo el arrastre (drag &amp; drop) de candidatos entre estados. La lógica de actualización asíncrona vía AJAX ha sido optimizada para soportar múltiples actualizaciones simultáneas sin latencia perceptible, cerrando el flujo desde la postulación hasta la contratación o rechazo.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4"/>
        <w:spacing w:after="0" w:lineRule="auto"/>
        <w:jc w:val="both"/>
        <w:rPr>
          <w:rFonts w:ascii="Calibri" w:cs="Calibri" w:eastAsia="Calibri" w:hAnsi="Calibri"/>
          <w:b w:val="1"/>
          <w:bCs w:val="1"/>
          <w:color w:val="00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2.4. Módulo de Entrevistas y Agendamiento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76" w:lineRule="auto"/>
        <w:ind w:left="72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Estado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Completado (100%)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Descripción Técnica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módulo de agendamiento se ha finalizado con la integración exitosa de servicios externos.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Gestión de citas: La estructura de datos (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Entrevista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Modo Online, Modo Presencial) está consolidada.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line="240" w:lineRule="auto"/>
        <w:jc w:val="both"/>
        <w:rPr>
          <w:rFonts w:ascii="Calibri" w:cs="Calibri" w:eastAsia="Calibri" w:hAnsi="Calibri"/>
          <w:b w:val="1"/>
          <w:bCs w:val="1"/>
          <w:color w:val="365f9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line="240" w:lineRule="auto"/>
        <w:jc w:val="both"/>
        <w:rPr>
          <w:rFonts w:ascii="Calibri" w:cs="Calibri" w:eastAsia="Calibri" w:hAnsi="Calibri"/>
          <w:b w:val="1"/>
          <w:bCs w:val="1"/>
          <w:color w:val="365f9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line="240" w:lineRule="auto"/>
        <w:jc w:val="both"/>
        <w:rPr>
          <w:rFonts w:ascii="Calibri" w:cs="Calibri" w:eastAsia="Calibri" w:hAnsi="Calibri"/>
          <w:b w:val="1"/>
          <w:bCs w:val="1"/>
          <w:color w:val="365f9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line="240" w:lineRule="auto"/>
        <w:jc w:val="both"/>
        <w:rPr>
          <w:rFonts w:ascii="Calibri" w:cs="Calibri" w:eastAsia="Calibri" w:hAnsi="Calibri"/>
          <w:b w:val="1"/>
          <w:bCs w:val="1"/>
          <w:color w:val="365f9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line="240" w:lineRule="auto"/>
        <w:jc w:val="both"/>
        <w:rPr>
          <w:rFonts w:ascii="Calibri" w:cs="Calibri" w:eastAsia="Calibri" w:hAnsi="Calibri"/>
          <w:b w:val="1"/>
          <w:bCs w:val="1"/>
          <w:color w:val="365f9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65f91"/>
          <w:sz w:val="32"/>
          <w:szCs w:val="32"/>
          <w:rtl w:val="0"/>
        </w:rPr>
        <w:t xml:space="preserve">3. Gestión de Incidencias y Riesgos</w:t>
      </w:r>
    </w:p>
    <w:p w:rsidR="00000000" w:rsidDel="00000000" w:rsidP="00000000" w:rsidRDefault="00000000" w:rsidRPr="00000000" w14:paraId="00000070">
      <w:pPr>
        <w:spacing w:line="240" w:lineRule="auto"/>
        <w:jc w:val="both"/>
        <w:rPr>
          <w:rFonts w:ascii="Calibri" w:cs="Calibri" w:eastAsia="Calibri" w:hAnsi="Calibri"/>
          <w:b w:val="1"/>
          <w:bCs w:val="1"/>
          <w:color w:val="365f91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40"/>
        <w:gridCol w:w="2370"/>
        <w:gridCol w:w="1230"/>
        <w:gridCol w:w="3240"/>
        <w:gridCol w:w="1650"/>
        <w:tblGridChange w:id="0">
          <w:tblGrid>
            <w:gridCol w:w="840"/>
            <w:gridCol w:w="2370"/>
            <w:gridCol w:w="1230"/>
            <w:gridCol w:w="3240"/>
            <w:gridCol w:w="1650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71">
            <w:pPr>
              <w:jc w:val="both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ID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72">
            <w:pPr>
              <w:jc w:val="both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Riesgo / Incidencia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73">
            <w:pPr>
              <w:jc w:val="both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Nivel de Impacto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7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365f9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Estrategia de Mitigación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7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365f9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Estado Actual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7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365f9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R-01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7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365f9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Límites de cuota en API de Google (OAuth/Calendar)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365f9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Medio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365f9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Implementar caché de tokens y monitoreo de uso en consola de desarrollador.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365f9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Mitigado / Configurado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7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365f9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R-02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365f9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Latencia en carga de CVs desde S3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365f9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Bajo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365f9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Optimización de imágenes y uso de URLs firmadas con tiempo de expiración ajustado.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365f9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Resuelto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8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365f9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I-01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365f9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Inconsistencia en validación de RUTs antiguos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365f9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Medio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365f9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Refactorización del script para manejar excepciones de formato.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4">
            <w:pPr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Resuelto</w:t>
            </w:r>
          </w:p>
        </w:tc>
      </w:tr>
    </w:tbl>
    <w:p w:rsidR="00000000" w:rsidDel="00000000" w:rsidP="00000000" w:rsidRDefault="00000000" w:rsidRPr="00000000" w14:paraId="00000085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jc w:val="both"/>
        <w:rPr>
          <w:rFonts w:ascii="Calibri" w:cs="Calibri" w:eastAsia="Calibri" w:hAnsi="Calibri"/>
          <w:b w:val="1"/>
          <w:bCs w:val="1"/>
          <w:color w:val="365f9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65f91"/>
          <w:sz w:val="32"/>
          <w:szCs w:val="32"/>
          <w:rtl w:val="0"/>
        </w:rPr>
        <w:t xml:space="preserve">4. Cierre de Alcance Técnico e Integraciones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80" w:before="280"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 certifica que la totalidad de los requerimientos técnicos planificados para el MVP (Producto Mínimo Viable) han sido desarrollados, integrados y desplegados. Durante la fase final de estabilización, se completaron las siguientes tareas críticas que aseguran la robustez del sistema:</w:t>
      </w:r>
    </w:p>
    <w:p w:rsidR="00000000" w:rsidDel="00000000" w:rsidP="00000000" w:rsidRDefault="00000000" w:rsidRPr="00000000" w14:paraId="00000090">
      <w:pPr>
        <w:spacing w:after="280" w:before="280" w:line="240" w:lineRule="auto"/>
        <w:ind w:left="0" w:firstLine="0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4.1 Consolidación de Servicios Externos:</w:t>
      </w:r>
    </w:p>
    <w:p w:rsidR="00000000" w:rsidDel="00000000" w:rsidP="00000000" w:rsidRDefault="00000000" w:rsidRPr="00000000" w14:paraId="00000091">
      <w:pPr>
        <w:numPr>
          <w:ilvl w:val="0"/>
          <w:numId w:val="7"/>
        </w:numPr>
        <w:spacing w:after="0" w:afterAutospacing="0" w:before="280" w:line="24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4.1.1.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La comunicación entre JobFlex y el ecosistema de Google (Calendar y Maps) ha sido auditada, asegurando que los tokens de acceso se refresquen correctamente y que las cuotas de uso de API estén dentro de los márgenes operativos seguros.</w:t>
      </w:r>
    </w:p>
    <w:p w:rsidR="00000000" w:rsidDel="00000000" w:rsidP="00000000" w:rsidRDefault="00000000" w:rsidRPr="00000000" w14:paraId="00000092">
      <w:pPr>
        <w:numPr>
          <w:ilvl w:val="0"/>
          <w:numId w:val="7"/>
        </w:numPr>
        <w:spacing w:after="24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4.1.2.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El almacenamiento en AWS S3 para los CVs ha sido configurado con políticas de retención y seguridad definitivas.</w:t>
      </w:r>
    </w:p>
    <w:p w:rsidR="00000000" w:rsidDel="00000000" w:rsidP="00000000" w:rsidRDefault="00000000" w:rsidRPr="00000000" w14:paraId="00000093">
      <w:pPr>
        <w:spacing w:after="240" w:before="240" w:line="240" w:lineRule="auto"/>
        <w:ind w:left="0" w:firstLine="0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4.2 Optimización de Código y Base de Datos:</w:t>
      </w:r>
    </w:p>
    <w:p w:rsidR="00000000" w:rsidDel="00000000" w:rsidP="00000000" w:rsidRDefault="00000000" w:rsidRPr="00000000" w14:paraId="00000094">
      <w:pPr>
        <w:numPr>
          <w:ilvl w:val="0"/>
          <w:numId w:val="2"/>
        </w:numPr>
        <w:spacing w:after="0" w:afterAutospacing="0" w:before="24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4.2.1.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Se ejecutó la normalización final de la base de datos geográfica (Región/Ciudad), garantizando la integridad de los datos en todos los formularios de perfil y ofertas.</w:t>
      </w:r>
    </w:p>
    <w:p w:rsidR="00000000" w:rsidDel="00000000" w:rsidP="00000000" w:rsidRDefault="00000000" w:rsidRPr="00000000" w14:paraId="00000095">
      <w:pPr>
        <w:numPr>
          <w:ilvl w:val="0"/>
          <w:numId w:val="2"/>
        </w:numPr>
        <w:spacing w:after="24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4.2.2.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Se refactorizaron los scripts de carga masiva de empresas para manejar excepciones de formato de manera silenciosa, asegurando una base de datos de empresas limpia y validada.</w:t>
      </w:r>
    </w:p>
    <w:p w:rsidR="00000000" w:rsidDel="00000000" w:rsidP="00000000" w:rsidRDefault="00000000" w:rsidRPr="00000000" w14:paraId="00000096">
      <w:pPr>
        <w:spacing w:after="240" w:before="240" w:line="240" w:lineRule="auto"/>
        <w:ind w:left="0" w:firstLine="0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4.3 Aseguramiento de Calidad (QA):</w:t>
      </w:r>
    </w:p>
    <w:p w:rsidR="00000000" w:rsidDel="00000000" w:rsidP="00000000" w:rsidRDefault="00000000" w:rsidRPr="00000000" w14:paraId="00000097">
      <w:pPr>
        <w:numPr>
          <w:ilvl w:val="0"/>
          <w:numId w:val="8"/>
        </w:numPr>
        <w:spacing w:after="240" w:before="240" w:line="240" w:lineRule="auto"/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4.3.1.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 han ejecutado pruebas integrales (End-to-End) en los flujos de cambio de estado de postulaciones, confirmando que las notificaciones automáticas se disparan correctamente en cada etapa del proceso de selección.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280" w:before="280"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jc w:val="both"/>
        <w:rPr>
          <w:rFonts w:ascii="Calibri" w:cs="Calibri" w:eastAsia="Calibri" w:hAnsi="Calibri"/>
          <w:b w:val="1"/>
          <w:bCs w:val="1"/>
          <w:color w:val="365f9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jc w:val="both"/>
        <w:rPr>
          <w:rFonts w:ascii="Calibri" w:cs="Calibri" w:eastAsia="Calibri" w:hAnsi="Calibri"/>
          <w:b w:val="1"/>
          <w:bCs w:val="1"/>
          <w:color w:val="365f9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jc w:val="both"/>
        <w:rPr>
          <w:rFonts w:ascii="Calibri" w:cs="Calibri" w:eastAsia="Calibri" w:hAnsi="Calibri"/>
          <w:b w:val="1"/>
          <w:bCs w:val="1"/>
          <w:color w:val="365f9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jc w:val="both"/>
        <w:rPr>
          <w:rFonts w:ascii="Calibri" w:cs="Calibri" w:eastAsia="Calibri" w:hAnsi="Calibri"/>
          <w:b w:val="1"/>
          <w:bCs w:val="1"/>
          <w:color w:val="365f9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jc w:val="both"/>
        <w:rPr>
          <w:rFonts w:ascii="Calibri" w:cs="Calibri" w:eastAsia="Calibri" w:hAnsi="Calibri"/>
          <w:b w:val="1"/>
          <w:bCs w:val="1"/>
          <w:color w:val="365f9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jc w:val="both"/>
        <w:rPr>
          <w:rFonts w:ascii="Calibri" w:cs="Calibri" w:eastAsia="Calibri" w:hAnsi="Calibri"/>
          <w:b w:val="1"/>
          <w:bCs w:val="1"/>
          <w:color w:val="365f9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jc w:val="both"/>
        <w:rPr>
          <w:rFonts w:ascii="Calibri" w:cs="Calibri" w:eastAsia="Calibri" w:hAnsi="Calibri"/>
          <w:b w:val="1"/>
          <w:bCs w:val="1"/>
          <w:color w:val="365f9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jc w:val="both"/>
        <w:rPr>
          <w:rFonts w:ascii="Calibri" w:cs="Calibri" w:eastAsia="Calibri" w:hAnsi="Calibri"/>
          <w:b w:val="1"/>
          <w:bCs w:val="1"/>
          <w:color w:val="365f9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jc w:val="both"/>
        <w:rPr>
          <w:rFonts w:ascii="Calibri" w:cs="Calibri" w:eastAsia="Calibri" w:hAnsi="Calibri"/>
          <w:b w:val="1"/>
          <w:bCs w:val="1"/>
          <w:color w:val="365f9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jc w:val="both"/>
        <w:rPr>
          <w:rFonts w:ascii="Calibri" w:cs="Calibri" w:eastAsia="Calibri" w:hAnsi="Calibri"/>
          <w:b w:val="1"/>
          <w:bCs w:val="1"/>
          <w:color w:val="365f9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jc w:val="both"/>
        <w:rPr>
          <w:rFonts w:ascii="Calibri" w:cs="Calibri" w:eastAsia="Calibri" w:hAnsi="Calibri"/>
          <w:b w:val="1"/>
          <w:bCs w:val="1"/>
          <w:color w:val="365f9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65f91"/>
          <w:sz w:val="32"/>
          <w:szCs w:val="32"/>
          <w:rtl w:val="0"/>
        </w:rPr>
        <w:t xml:space="preserve">5. Conclusiones y Cierre de Control</w:t>
      </w:r>
    </w:p>
    <w:p w:rsidR="00000000" w:rsidDel="00000000" w:rsidP="00000000" w:rsidRDefault="00000000" w:rsidRPr="00000000" w14:paraId="000000A4">
      <w:pPr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proyecto JobFlex ha finalizado exitosamente su ciclo de desarrollo de software. La plataforma cuenta con un núcleo operativo estable, seguro y con todas sus funcionalidades críticas desplegadas en el ambiente final.</w:t>
      </w:r>
    </w:p>
    <w:p w:rsidR="00000000" w:rsidDel="00000000" w:rsidP="00000000" w:rsidRDefault="00000000" w:rsidRPr="00000000" w14:paraId="000000A5">
      <w:pPr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sistema cumple con los estándares de autenticación (2FA), gestión de datos y usabilidad definidos en el alcance inicial. Las integraciones con servicios de terceros operan de manera fluida, entregando valor real tanto a candidatos como a reclutadores.</w:t>
      </w:r>
    </w:p>
    <w:p w:rsidR="00000000" w:rsidDel="00000000" w:rsidP="00000000" w:rsidRDefault="00000000" w:rsidRPr="00000000" w14:paraId="000000A6">
      <w:pPr>
        <w:spacing w:after="240" w:before="240"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Estado Final de Entregables:</w:t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spacing w:after="0" w:afterAutospacing="0" w:before="24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Código Fuente: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Versionado final congelado en el repositorio y listo para entrega.</w:t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Despliegue: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Aplicación operativa en ambiente de producción, conectada a bases de datos SQL Server (Azure) y MySQL (SII).</w:t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spacing w:after="24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Documentación: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Manuales técnicos, Diagramas de Arquitectura y Diccionario de Datos actualizados a la versión final.</w:t>
      </w:r>
    </w:p>
    <w:p w:rsidR="00000000" w:rsidDel="00000000" w:rsidP="00000000" w:rsidRDefault="00000000" w:rsidRPr="00000000" w14:paraId="000000AA">
      <w:pPr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Con esto, el equipo de desarrollo da por cerrada la etapa de construcción técnica, dejando la plataforma disponible para su uso productivo inmediato.</w:t>
      </w:r>
    </w:p>
    <w:p w:rsidR="00000000" w:rsidDel="00000000" w:rsidP="00000000" w:rsidRDefault="00000000" w:rsidRPr="00000000" w14:paraId="000000AB">
      <w:pPr>
        <w:spacing w:after="280" w:before="0" w:line="240" w:lineRule="auto"/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Aprobación del Documento:</w:t>
      </w:r>
    </w:p>
    <w:p w:rsidR="00000000" w:rsidDel="00000000" w:rsidP="00000000" w:rsidRDefault="00000000" w:rsidRPr="00000000" w14:paraId="000000AF">
      <w:pPr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jc w:val="both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Jefe de Proyecto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Fecha: 1/10/2025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280" w:before="280"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jc w:val="both"/>
        <w:rPr>
          <w:rFonts w:ascii="Calibri" w:cs="Calibri" w:eastAsia="Calibri" w:hAnsi="Calibri"/>
          <w:b w:val="1"/>
          <w:bCs w:val="1"/>
          <w:color w:val="365f9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jc w:val="both"/>
        <w:rPr>
          <w:rFonts w:ascii="Calibri" w:cs="Calibri" w:eastAsia="Calibri" w:hAnsi="Calibri"/>
          <w:color w:val="365f9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4" w:w="11909" w:orient="portrait"/>
      <w:pgMar w:bottom="1440" w:top="1440" w:left="1440" w:right="1440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C">
    <w:pPr>
      <w:jc w:val="right"/>
      <w:rPr>
        <w:rFonts w:ascii="Calibri" w:cs="Calibri" w:eastAsia="Calibri" w:hAnsi="Calibri"/>
      </w:rPr>
    </w:pPr>
    <w:r w:rsidDel="00000000" w:rsidR="00000000" w:rsidRPr="00000000">
      <w:rPr>
        <w:rFonts w:ascii="Calibri" w:cs="Calibri" w:eastAsia="Calibri" w:hAnsi="Calibri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B">
    <w:pPr>
      <w:tabs>
        <w:tab w:val="center" w:leader="none" w:pos="4252"/>
        <w:tab w:val="right" w:leader="none" w:pos="8504"/>
      </w:tabs>
      <w:spacing w:line="240" w:lineRule="auto"/>
      <w:jc w:val="both"/>
      <w:rPr/>
    </w:pPr>
    <w:r w:rsidDel="00000000" w:rsidR="00000000" w:rsidRPr="00000000">
      <w:rPr/>
      <w:drawing>
        <wp:inline distB="0" distT="0" distL="0" distR="0">
          <wp:extent cx="1447800" cy="361950"/>
          <wp:effectExtent b="0" l="0" r="0" t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447800" cy="3619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-C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1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" w:customStyle="1">
    <w:basedOn w:val="TableNormal1"/>
    <w:tblPr>
      <w:tblStyleRowBandSize w:val="1"/>
      <w:tblStyleColBandSize w:val="1"/>
    </w:tblPr>
  </w:style>
  <w:style w:type="table" w:styleId="a0" w:customStyle="1">
    <w:basedOn w:val="TableNormal1"/>
    <w:tblPr>
      <w:tblStyleRowBandSize w:val="1"/>
      <w:tblStyleColBandSize w:val="1"/>
    </w:tblPr>
  </w:style>
  <w:style w:type="table" w:styleId="a1" w:customStyle="1">
    <w:basedOn w:val="TableNormal1"/>
    <w:tblPr>
      <w:tblStyleRowBandSize w:val="1"/>
      <w:tblStyleColBandSize w:val="1"/>
    </w:tblPr>
  </w:style>
  <w:style w:type="table" w:styleId="a2" w:customStyle="1">
    <w:basedOn w:val="TableNormal1"/>
    <w:tblPr>
      <w:tblStyleRowBandSize w:val="1"/>
      <w:tblStyleColBandSize w:val="1"/>
    </w:tblPr>
  </w:style>
  <w:style w:type="table" w:styleId="a3" w:customStyle="1">
    <w:basedOn w:val="TableNormal1"/>
    <w:tblPr>
      <w:tblStyleRowBandSize w:val="1"/>
      <w:tblStyleColBandSize w:val="1"/>
    </w:tblPr>
  </w:style>
  <w:style w:type="table" w:styleId="a4" w:customStyle="1">
    <w:basedOn w:val="TableNormal1"/>
    <w:tblPr>
      <w:tblStyleRowBandSize w:val="1"/>
      <w:tblStyleColBandSize w:val="1"/>
    </w:tblPr>
  </w:style>
  <w:style w:type="table" w:styleId="a5" w:customStyle="1">
    <w:basedOn w:val="TableNormal1"/>
    <w:tblPr>
      <w:tblStyleRowBandSize w:val="1"/>
      <w:tblStyleColBandSize w:val="1"/>
    </w:tblPr>
  </w:style>
  <w:style w:type="table" w:styleId="a6" w:customStyle="1">
    <w:basedOn w:val="TableNormal1"/>
    <w:tblPr>
      <w:tblStyleRowBandSize w:val="1"/>
      <w:tblStyleColBandSize w:val="1"/>
    </w:tblPr>
  </w:style>
  <w:style w:type="table" w:styleId="a7" w:customStyle="1">
    <w:basedOn w:val="TableNormal1"/>
    <w:tblPr>
      <w:tblStyleRowBandSize w:val="1"/>
      <w:tblStyleColBandSize w:val="1"/>
    </w:tblPr>
  </w:style>
  <w:style w:type="table" w:styleId="a8" w:customStyle="1">
    <w:basedOn w:val="TableNormal1"/>
    <w:tblPr>
      <w:tblStyleRowBandSize w:val="1"/>
      <w:tblStyleColBandSize w:val="1"/>
    </w:tblPr>
  </w:style>
  <w:style w:type="table" w:styleId="a9" w:customStyle="1">
    <w:basedOn w:val="TableNormal1"/>
    <w:tblPr>
      <w:tblStyleRowBandSize w:val="1"/>
      <w:tblStyleColBandSize w:val="1"/>
    </w:tblPr>
  </w:style>
  <w:style w:type="table" w:styleId="aa" w:customStyle="1">
    <w:basedOn w:val="TableNormal1"/>
    <w:tblPr>
      <w:tblStyleRowBandSize w:val="1"/>
      <w:tblStyleColBandSize w:val="1"/>
    </w:tblPr>
  </w:style>
  <w:style w:type="table" w:styleId="ab" w:customStyle="1">
    <w:basedOn w:val="TableNormal1"/>
    <w:tblPr>
      <w:tblStyleRowBandSize w:val="1"/>
      <w:tblStyleColBandSize w:val="1"/>
    </w:tblPr>
  </w:style>
  <w:style w:type="table" w:styleId="ac" w:customStyle="1">
    <w:basedOn w:val="TableNormal1"/>
    <w:tblPr>
      <w:tblStyleRowBandSize w:val="1"/>
      <w:tblStyleColBandSize w:val="1"/>
    </w:tblPr>
  </w:style>
  <w:style w:type="table" w:styleId="ad" w:customStyle="1">
    <w:basedOn w:val="TableNormal1"/>
    <w:tblPr>
      <w:tblStyleRowBandSize w:val="1"/>
      <w:tblStyleColBandSize w:val="1"/>
    </w:tblPr>
  </w:style>
  <w:style w:type="table" w:styleId="ae" w:customStyle="1">
    <w:basedOn w:val="TableNormal1"/>
    <w:tblPr>
      <w:tblStyleRowBandSize w:val="1"/>
      <w:tblStyleColBandSize w:val="1"/>
    </w:tblPr>
  </w:style>
  <w:style w:type="table" w:styleId="af" w:customStyle="1">
    <w:basedOn w:val="TableNormal1"/>
    <w:tblPr>
      <w:tblStyleRowBandSize w:val="1"/>
      <w:tblStyleColBandSize w:val="1"/>
    </w:tblPr>
  </w:style>
  <w:style w:type="table" w:styleId="af0" w:customStyle="1">
    <w:basedOn w:val="TableNormal1"/>
    <w:tblPr>
      <w:tblStyleRowBandSize w:val="1"/>
      <w:tblStyleColBandSize w:val="1"/>
    </w:tblPr>
  </w:style>
  <w:style w:type="table" w:styleId="af1" w:customStyle="1">
    <w:basedOn w:val="TableNormal1"/>
    <w:tblPr>
      <w:tblStyleRowBandSize w:val="1"/>
      <w:tblStyleColBandSize w:val="1"/>
    </w:tblPr>
  </w:style>
  <w:style w:type="table" w:styleId="af2" w:customStyle="1">
    <w:basedOn w:val="TableNormal1"/>
    <w:tblPr>
      <w:tblStyleRowBandSize w:val="1"/>
      <w:tblStyleColBandSize w:val="1"/>
    </w:tblPr>
  </w:style>
  <w:style w:type="table" w:styleId="af3" w:customStyle="1">
    <w:basedOn w:val="TableNormal1"/>
    <w:tblPr>
      <w:tblStyleRowBandSize w:val="1"/>
      <w:tblStyleColBandSize w:val="1"/>
    </w:tblPr>
  </w:style>
  <w:style w:type="table" w:styleId="af4" w:customStyle="1">
    <w:basedOn w:val="TableNormal1"/>
    <w:tblPr>
      <w:tblStyleRowBandSize w:val="1"/>
      <w:tblStyleColBandSize w:val="1"/>
    </w:tblPr>
  </w:style>
  <w:style w:type="table" w:styleId="af5" w:customStyle="1">
    <w:basedOn w:val="TableNormal1"/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semiHidden w:val="1"/>
    <w:unhideWhenUsed w:val="1"/>
    <w:rsid w:val="00C4437F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val="es-CL"/>
    </w:rPr>
  </w:style>
  <w:style w:type="character" w:styleId="CdigoHTML">
    <w:name w:val="HTML Code"/>
    <w:basedOn w:val="Fuentedeprrafopredeter"/>
    <w:uiPriority w:val="99"/>
    <w:semiHidden w:val="1"/>
    <w:unhideWhenUsed w:val="1"/>
    <w:rsid w:val="00C4437F"/>
    <w:rPr>
      <w:rFonts w:ascii="Courier New" w:cs="Courier New" w:eastAsia="Times New Roman" w:hAnsi="Courier New"/>
      <w:sz w:val="20"/>
      <w:szCs w:val="20"/>
    </w:rPr>
  </w:style>
  <w:style w:type="character" w:styleId="math-inline" w:customStyle="1">
    <w:name w:val="math-inline"/>
    <w:basedOn w:val="Fuentedeprrafopredeter"/>
    <w:rsid w:val="00C4437F"/>
  </w:style>
  <w:style w:type="paragraph" w:styleId="Prrafodelista">
    <w:name w:val="List Paragraph"/>
    <w:basedOn w:val="Normal"/>
    <w:uiPriority w:val="34"/>
    <w:qFormat w:val="1"/>
    <w:rsid w:val="00C4437F"/>
    <w:pPr>
      <w:ind w:left="720"/>
      <w:contextualSpacing w:val="1"/>
    </w:pPr>
  </w:style>
  <w:style w:type="table" w:styleId="Tablaconcuadrcula">
    <w:name w:val="Table Grid"/>
    <w:basedOn w:val="Tablanormal"/>
    <w:uiPriority w:val="39"/>
    <w:rsid w:val="00C4437F"/>
    <w:pPr>
      <w:spacing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tuloTDC">
    <w:name w:val="TOC Heading"/>
    <w:basedOn w:val="Ttulo1"/>
    <w:next w:val="Normal"/>
    <w:uiPriority w:val="39"/>
    <w:unhideWhenUsed w:val="1"/>
    <w:qFormat w:val="1"/>
    <w:rsid w:val="00670A6D"/>
    <w:pPr>
      <w:spacing w:after="0" w:before="240" w:line="259" w:lineRule="auto"/>
      <w:outlineLvl w:val="9"/>
    </w:pPr>
    <w:rPr>
      <w:rFonts w:asciiTheme="majorHAnsi" w:cstheme="majorBidi" w:eastAsiaTheme="majorEastAsia" w:hAnsiTheme="majorHAnsi"/>
      <w:color w:val="365f91" w:themeColor="accent1" w:themeShade="0000BF"/>
      <w:sz w:val="32"/>
      <w:szCs w:val="32"/>
      <w:lang w:val="es-CL"/>
    </w:rPr>
  </w:style>
  <w:style w:type="paragraph" w:styleId="Encabezado">
    <w:name w:val="header"/>
    <w:basedOn w:val="Normal"/>
    <w:link w:val="EncabezadoCar"/>
    <w:uiPriority w:val="99"/>
    <w:unhideWhenUsed w:val="1"/>
    <w:rsid w:val="002F2512"/>
    <w:pPr>
      <w:tabs>
        <w:tab w:val="center" w:pos="4419"/>
        <w:tab w:val="right" w:pos="8838"/>
      </w:tabs>
      <w:spacing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2F2512"/>
  </w:style>
  <w:style w:type="paragraph" w:styleId="Piedepgina">
    <w:name w:val="footer"/>
    <w:basedOn w:val="Normal"/>
    <w:link w:val="PiedepginaCar"/>
    <w:uiPriority w:val="99"/>
    <w:unhideWhenUsed w:val="1"/>
    <w:rsid w:val="002F2512"/>
    <w:pPr>
      <w:tabs>
        <w:tab w:val="center" w:pos="4419"/>
        <w:tab w:val="right" w:pos="8838"/>
      </w:tabs>
      <w:spacing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2F2512"/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TWkDpZ6jwqP1e/NWrO3KmZf1fQQ==">CgMxLjA4AHIhMWE0Tk5Ydml0bnFyZTIxVlFwY1BrOEhsN2pLaXQ2Y1li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2025-11-27T23:11:00Z</dcterms:created>
  <dc:creator>Italo Muñoz</dc:creator>
</cp:coreProperties>
</file>