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276" w:lineRule="auto"/>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Verificación de Alcances</w:t>
      </w:r>
    </w:p>
    <w:p w:rsidR="00000000" w:rsidDel="00000000" w:rsidP="00000000" w:rsidRDefault="00000000" w:rsidRPr="00000000" w14:paraId="0000000F">
      <w:pPr>
        <w:spacing w:line="276" w:lineRule="auto"/>
        <w:jc w:val="right"/>
        <w:rPr>
          <w:rFonts w:ascii="Calibri" w:cs="Calibri" w:eastAsia="Calibri" w:hAnsi="Calibri"/>
          <w:b w:val="1"/>
          <w:bCs w:val="1"/>
          <w:i w:val="1"/>
          <w:iCs w:val="1"/>
          <w:color w:val="365f91"/>
          <w:sz w:val="40"/>
          <w:szCs w:val="40"/>
        </w:rPr>
      </w:pPr>
      <w:r w:rsidDel="00000000" w:rsidR="00000000" w:rsidRPr="00000000">
        <w:rPr>
          <w:rFonts w:ascii="Calibri" w:cs="Calibri" w:eastAsia="Calibri" w:hAnsi="Calibri"/>
          <w:b w:val="1"/>
          <w:bCs w:val="1"/>
          <w:i w:val="1"/>
          <w:iCs w:val="1"/>
          <w:color w:val="365f91"/>
          <w:sz w:val="40"/>
          <w:szCs w:val="40"/>
          <w:rtl w:val="0"/>
        </w:rPr>
        <w:t xml:space="preserve">JobFlex - Plataforma de Empleo Multiperfil</w:t>
      </w:r>
    </w:p>
    <w:p w:rsidR="00000000" w:rsidDel="00000000" w:rsidP="00000000" w:rsidRDefault="00000000" w:rsidRPr="00000000" w14:paraId="00000010">
      <w:pPr>
        <w:spacing w:line="276" w:lineRule="auto"/>
        <w:jc w:val="right"/>
        <w:rPr>
          <w:rFonts w:ascii="Calibri" w:cs="Calibri" w:eastAsia="Calibri" w:hAnsi="Calibri"/>
          <w:b w:val="1"/>
          <w:bCs w:val="1"/>
          <w:i w:val="1"/>
          <w:iCs w:val="1"/>
          <w:color w:val="365f91"/>
          <w:sz w:val="36"/>
          <w:szCs w:val="36"/>
        </w:rPr>
      </w:pPr>
      <w:r w:rsidDel="00000000" w:rsidR="00000000" w:rsidRPr="00000000">
        <w:rPr>
          <w:rFonts w:ascii="Calibri" w:cs="Calibri" w:eastAsia="Calibri" w:hAnsi="Calibri"/>
          <w:b w:val="1"/>
          <w:bCs w:val="1"/>
          <w:i w:val="1"/>
          <w:iCs w:val="1"/>
          <w:sz w:val="36"/>
          <w:szCs w:val="36"/>
          <w:rtl w:val="0"/>
        </w:rPr>
        <w:t xml:space="preserve">Fecha:</w:t>
      </w:r>
      <w:r w:rsidDel="00000000" w:rsidR="00000000" w:rsidRPr="00000000">
        <w:rPr>
          <w:rFonts w:ascii="Calibri" w:cs="Calibri" w:eastAsia="Calibri" w:hAnsi="Calibri"/>
          <w:b w:val="1"/>
          <w:bCs w:val="1"/>
          <w:i w:val="1"/>
          <w:iCs w:val="1"/>
          <w:color w:val="365f91"/>
          <w:sz w:val="36"/>
          <w:szCs w:val="36"/>
          <w:rtl w:val="0"/>
        </w:rPr>
        <w:t xml:space="preserve"> 06/10/2025</w:t>
      </w:r>
    </w:p>
    <w:p w:rsidR="00000000" w:rsidDel="00000000" w:rsidP="00000000" w:rsidRDefault="00000000" w:rsidRPr="00000000" w14:paraId="00000011">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2">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3">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4">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5">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6">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7">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8">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9">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A">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B">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C">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D">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E">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F">
      <w:pPr>
        <w:spacing w:line="240" w:lineRule="auto"/>
        <w:jc w:val="both"/>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20">
      <w:pPr>
        <w:spacing w:line="240" w:lineRule="auto"/>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Calibri" w:cs="Calibri" w:eastAsia="Calibri" w:hAnsi="Calibri"/>
          <w:color w:val="365f91"/>
          <w:sz w:val="24"/>
          <w:szCs w:val="24"/>
        </w:rPr>
      </w:pPr>
      <w:r w:rsidDel="00000000" w:rsidR="00000000" w:rsidRPr="00000000">
        <w:rPr>
          <w:rFonts w:ascii="Calibri" w:cs="Calibri" w:eastAsia="Calibri" w:hAnsi="Calibri"/>
          <w:b w:val="1"/>
          <w:bCs w:val="1"/>
          <w:color w:val="365f91"/>
          <w:sz w:val="32"/>
          <w:szCs w:val="32"/>
          <w:rtl w:val="0"/>
        </w:rPr>
        <w:t xml:space="preserve">Tabla de Contenidos </w:t>
      </w:r>
      <w:r w:rsidDel="00000000" w:rsidR="00000000" w:rsidRPr="00000000">
        <w:rPr>
          <w:rtl w:val="0"/>
        </w:rPr>
      </w:r>
    </w:p>
    <w:p w:rsidR="00000000" w:rsidDel="00000000" w:rsidP="00000000" w:rsidRDefault="00000000" w:rsidRPr="00000000" w14:paraId="00000022">
      <w:pPr>
        <w:spacing w:line="240" w:lineRule="auto"/>
        <w:jc w:val="both"/>
        <w:rPr>
          <w:rFonts w:ascii="Calibri" w:cs="Calibri" w:eastAsia="Calibri" w:hAnsi="Calibri"/>
          <w:color w:val="365f91"/>
          <w:sz w:val="24"/>
          <w:szCs w:val="24"/>
        </w:rPr>
      </w:pPr>
      <w:r w:rsidDel="00000000" w:rsidR="00000000" w:rsidRPr="00000000">
        <w:rPr>
          <w:rtl w:val="0"/>
        </w:rPr>
      </w:r>
    </w:p>
    <w:sdt>
      <w:sdtPr>
        <w:id w:val="67000522"/>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bCs w:val="1"/>
              <w:sz w:val="24"/>
              <w:szCs w:val="24"/>
              <w:rtl w:val="0"/>
            </w:rPr>
            <w:t xml:space="preserve">Introducción</w:t>
          </w:r>
          <w:hyperlink w:anchor="_heading=h.lozm1oux5uqm">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ab/>
            </w:r>
          </w:hyperlink>
          <w:r w:rsidDel="00000000" w:rsidR="00000000" w:rsidRPr="00000000">
            <w:rPr>
              <w:rFonts w:ascii="Calibri" w:cs="Calibri" w:eastAsia="Calibri" w:hAnsi="Calibri"/>
              <w:b w:val="1"/>
              <w:bCs w:val="1"/>
              <w:sz w:val="24"/>
              <w:szCs w:val="24"/>
              <w:rtl w:val="0"/>
            </w:rPr>
            <w:t xml:space="preserve">2</w:t>
          </w:r>
        </w:p>
        <w:p w:rsidR="00000000" w:rsidDel="00000000" w:rsidP="00000000" w:rsidRDefault="00000000" w:rsidRPr="00000000" w14:paraId="00000024">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Alcance Declarado del Proyecto</w:t>
          </w:r>
          <w:hyperlink w:anchor="_heading=h.lozm1oux5uqm">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3</w:t>
          </w:r>
        </w:p>
        <w:p w:rsidR="00000000" w:rsidDel="00000000" w:rsidP="00000000" w:rsidRDefault="00000000" w:rsidRPr="00000000" w14:paraId="00000025">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Matriz de Verificación de Alcance</w:t>
          </w:r>
          <w:hyperlink w:anchor="_heading=h.lozm1oux5uqm">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5</w:t>
          </w:r>
        </w:p>
        <w:p w:rsidR="00000000" w:rsidDel="00000000" w:rsidP="00000000" w:rsidRDefault="00000000" w:rsidRPr="00000000" w14:paraId="00000026">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Análisis de Cumplimiento</w:t>
          </w:r>
          <w:hyperlink w:anchor="_heading=h.lozm1oux5uqm">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7</w:t>
          </w:r>
        </w:p>
        <w:p w:rsidR="00000000" w:rsidDel="00000000" w:rsidP="00000000" w:rsidRDefault="00000000" w:rsidRPr="00000000" w14:paraId="00000027">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Conclusión</w:t>
          </w:r>
          <w:hyperlink w:anchor="_heading=h.lozm1oux5uqm">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8</w:t>
          </w:r>
          <w:r w:rsidDel="00000000" w:rsidR="00000000" w:rsidRPr="00000000">
            <w:fldChar w:fldCharType="end"/>
          </w:r>
        </w:p>
      </w:sdtContent>
    </w:sdt>
    <w:p w:rsidR="00000000" w:rsidDel="00000000" w:rsidP="00000000" w:rsidRDefault="00000000" w:rsidRPr="00000000" w14:paraId="00000028">
      <w:pPr>
        <w:pStyle w:val="Heading1"/>
        <w:rPr/>
      </w:pPr>
      <w:bookmarkStart w:colFirst="0" w:colLast="0" w:name="_heading=h.lozm1oux5uqm" w:id="0"/>
      <w:bookmarkEnd w:id="0"/>
      <w:r w:rsidDel="00000000" w:rsidR="00000000" w:rsidRPr="00000000">
        <w:rPr>
          <w:rtl w:val="0"/>
        </w:rPr>
      </w:r>
    </w:p>
    <w:p w:rsidR="00000000" w:rsidDel="00000000" w:rsidP="00000000" w:rsidRDefault="00000000" w:rsidRPr="00000000" w14:paraId="00000029">
      <w:pPr>
        <w:pStyle w:val="Heading1"/>
        <w:rPr/>
      </w:pPr>
      <w:bookmarkStart w:colFirst="0" w:colLast="0" w:name="_heading=h.xseorqbstibv" w:id="1"/>
      <w:bookmarkEnd w:id="1"/>
      <w:r w:rsidDel="00000000" w:rsidR="00000000" w:rsidRPr="00000000">
        <w:rPr>
          <w:rtl w:val="0"/>
        </w:rPr>
      </w:r>
    </w:p>
    <w:p w:rsidR="00000000" w:rsidDel="00000000" w:rsidP="00000000" w:rsidRDefault="00000000" w:rsidRPr="00000000" w14:paraId="0000002A">
      <w:pPr>
        <w:pStyle w:val="Heading1"/>
        <w:jc w:val="both"/>
        <w:rPr>
          <w:rFonts w:ascii="Calibri" w:cs="Calibri" w:eastAsia="Calibri" w:hAnsi="Calibri"/>
          <w:sz w:val="24"/>
          <w:szCs w:val="24"/>
        </w:rPr>
      </w:pPr>
      <w:bookmarkStart w:colFirst="0" w:colLast="0" w:name="_heading=h.gisdkxawe672" w:id="2"/>
      <w:bookmarkEnd w:id="2"/>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1. Introducción </w:t>
      </w:r>
      <w:r w:rsidDel="00000000" w:rsidR="00000000" w:rsidRPr="00000000">
        <w:rPr>
          <w:rtl w:val="0"/>
        </w:rPr>
      </w:r>
    </w:p>
    <w:p w:rsidR="00000000" w:rsidDel="00000000" w:rsidP="00000000" w:rsidRDefault="00000000" w:rsidRPr="00000000" w14:paraId="0000004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Verificación de Alcances es un proceso fundamental dentro de la gestión de proyectos, cuyo objetivo principal es asegurar que los entregables desarrollados corresponden de manera precisa a lo establecido en el Alcance del Proyecto. Este documento recoge formalmente la revisión, validación y confirmación de que las funcionalidades, módulos, servicios y productos construidos cumplen con lo planificado, sin desviaciones que puedan afectar calidad, tiempos o requerimientos previamente aprobados.</w:t>
      </w:r>
    </w:p>
    <w:p w:rsidR="00000000" w:rsidDel="00000000" w:rsidP="00000000" w:rsidRDefault="00000000" w:rsidRPr="00000000" w14:paraId="0000004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contexto del presente proyecto, la verificación del alcance permite evaluar de manera sistemática si las tareas ejecutadas, los artefactos generados y los resultados obtenidos responden a lo especificado en el Documento de Requerimientos, EDT, Acta de Constitución y demás lineamientos técnicos. Esta revisión también facilita la identificación oportuna de brechas, inconsistencias o funcionalidades pendientes, permitiendo tomar acciones correctivas antes de avanzar hacia fases posteriores como pruebas finales, integración o implementación.</w:t>
      </w:r>
    </w:p>
    <w:p w:rsidR="00000000" w:rsidDel="00000000" w:rsidP="00000000" w:rsidRDefault="00000000" w:rsidRPr="00000000" w14:paraId="0000004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este proceso garantiza transparencia entre los miembros del equipo y asegura que todos trabajan bajo una interpretación coherente y compartida del alcance originalmente aprobado. Finalmente, la Verificación de Alcances ofrece una base formal de control que respalda la toma de decisiones, mejora la trazabilidad del proyecto y contribuye a la gestión adecuada de cambios futuros.</w:t>
      </w:r>
    </w:p>
    <w:p w:rsidR="00000000" w:rsidDel="00000000" w:rsidP="00000000" w:rsidRDefault="00000000" w:rsidRPr="00000000" w14:paraId="0000005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color w:val="365f91"/>
          <w:sz w:val="24"/>
          <w:szCs w:val="24"/>
        </w:rPr>
      </w:pPr>
      <w:r w:rsidDel="00000000" w:rsidR="00000000" w:rsidRPr="00000000">
        <w:rPr>
          <w:rFonts w:ascii="Calibri" w:cs="Calibri" w:eastAsia="Calibri" w:hAnsi="Calibri"/>
          <w:b w:val="1"/>
          <w:bCs w:val="1"/>
          <w:color w:val="365f91"/>
          <w:sz w:val="32"/>
          <w:szCs w:val="32"/>
          <w:rtl w:val="0"/>
        </w:rPr>
        <w:t xml:space="preserve">2. Alcance Declarado del Proyecto</w:t>
      </w:r>
      <w:r w:rsidDel="00000000" w:rsidR="00000000" w:rsidRPr="00000000">
        <w:rPr>
          <w:rtl w:val="0"/>
        </w:rPr>
      </w:r>
    </w:p>
    <w:p w:rsidR="00000000" w:rsidDel="00000000" w:rsidP="00000000" w:rsidRDefault="00000000" w:rsidRPr="00000000" w14:paraId="0000006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alcance declarado del proyecto JobFlex – Plataforma de Empleo Multiperfil comprende el desarrollo, implementación y despliegue de un sistema web funcional que permita la gestión integral del proceso de búsqueda de empleo, creación de perfiles profesionales, postulación a ofertas laborales y administración de candidatos y ofertas por parte de empresas.</w:t>
      </w:r>
    </w:p>
    <w:p w:rsidR="00000000" w:rsidDel="00000000" w:rsidP="00000000" w:rsidRDefault="00000000" w:rsidRPr="00000000" w14:paraId="0000006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 El proyecto considera como parte de su alcance todos los Requerimientos Funcionales (RF) y Requerimientos No Funcionales (RNF) definidos en la etapa de análisis, los cuales fueron implementados, verificados y validados satisfactoriamente durante el desarrollo.</w:t>
      </w:r>
    </w:p>
    <w:p w:rsidR="00000000" w:rsidDel="00000000" w:rsidP="00000000" w:rsidRDefault="00000000" w:rsidRPr="00000000" w14:paraId="0000006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del alcance declarado se incluye:</w:t>
      </w:r>
    </w:p>
    <w:sdt>
      <w:sdtPr>
        <w:lock w:val="contentLocked"/>
        <w:id w:val="1388432605"/>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375"/>
            <w:tblGridChange w:id="0">
              <w:tblGrid>
                <w:gridCol w:w="2625"/>
                <w:gridCol w:w="637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Funcionalidades para Usuarios Candidatos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Acceso a landing page con navegación completa.</w:t>
                </w:r>
              </w:p>
              <w:p w:rsidR="00000000" w:rsidDel="00000000" w:rsidP="00000000" w:rsidRDefault="00000000" w:rsidRPr="00000000" w14:paraId="0000006C">
                <w:pPr>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Registro, inicio de sesión y recuperación de contraseña, con autenticación clásica y Google.</w:t>
                </w:r>
              </w:p>
              <w:p w:rsidR="00000000" w:rsidDel="00000000" w:rsidP="00000000" w:rsidRDefault="00000000" w:rsidRPr="00000000" w14:paraId="0000006D">
                <w:pPr>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Búsqueda de empleo con filtros avanzados, vista de detalle y postulación mediante perfiles profesionales.</w:t>
                </w:r>
              </w:p>
              <w:p w:rsidR="00000000" w:rsidDel="00000000" w:rsidP="00000000" w:rsidRDefault="00000000" w:rsidRPr="00000000" w14:paraId="0000006E">
                <w:pPr>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Página principal personalizada con panel de actividad, ofertas destacadas y atajos a módulos clave.</w:t>
                </w:r>
              </w:p>
              <w:p w:rsidR="00000000" w:rsidDel="00000000" w:rsidP="00000000" w:rsidRDefault="00000000" w:rsidRPr="00000000" w14:paraId="0000006F">
                <w:pPr>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Gestión del perfil personal, incluyendo actualización de datos, estado de disponibilidad y estadísticas.</w:t>
                </w:r>
              </w:p>
              <w:p w:rsidR="00000000" w:rsidDel="00000000" w:rsidP="00000000" w:rsidRDefault="00000000" w:rsidRPr="00000000" w14:paraId="00000070">
                <w:pPr>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Editor avanzado de CV con vista previa, control de secciones, barra de progreso y descarga en PDF.</w:t>
                </w:r>
              </w:p>
              <w:p w:rsidR="00000000" w:rsidDel="00000000" w:rsidP="00000000" w:rsidRDefault="00000000" w:rsidRPr="00000000" w14:paraId="00000071">
                <w:pPr>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Administración de múltiples CV (creados o subidos), con métricas asociadas.</w:t>
                </w:r>
              </w:p>
              <w:p w:rsidR="00000000" w:rsidDel="00000000" w:rsidP="00000000" w:rsidRDefault="00000000" w:rsidRPr="00000000" w14:paraId="00000072">
                <w:pPr>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Módulo completo de postulaciones con filtros, estados y entrevistas asociadas.</w:t>
                </w:r>
              </w:p>
              <w:p w:rsidR="00000000" w:rsidDel="00000000" w:rsidP="00000000" w:rsidRDefault="00000000" w:rsidRPr="00000000" w14:paraId="00000073">
                <w:pPr>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Configuración de cuenta y eliminación total del usuario.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Funcionalidades para Usuarios 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Dashboard interactivo con métricas, actividad reciente y accesos rápidos.</w:t>
                </w:r>
              </w:p>
              <w:p w:rsidR="00000000" w:rsidDel="00000000" w:rsidP="00000000" w:rsidRDefault="00000000" w:rsidRPr="00000000" w14:paraId="00000076">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Gestión completa de ofertas laborales: creación, edición, listado, métricas y revisión de postulaciones.</w:t>
                </w:r>
              </w:p>
              <w:p w:rsidR="00000000" w:rsidDel="00000000" w:rsidP="00000000" w:rsidRDefault="00000000" w:rsidRPr="00000000" w14:paraId="00000077">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Gestión de candidatos por oferta, con visualización y descarga de CV.</w:t>
                </w:r>
              </w:p>
              <w:p w:rsidR="00000000" w:rsidDel="00000000" w:rsidP="00000000" w:rsidRDefault="00000000" w:rsidRPr="00000000" w14:paraId="00000078">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Actualización de estados de postulaciones y agendamiento de entrevistas.</w:t>
                </w:r>
              </w:p>
              <w:p w:rsidR="00000000" w:rsidDel="00000000" w:rsidP="00000000" w:rsidRDefault="00000000" w:rsidRPr="00000000" w14:paraId="00000079">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Módulo avanzado de entrevistas con calendario interactivo, panel lateral y modal detallado.</w:t>
                </w:r>
              </w:p>
              <w:p w:rsidR="00000000" w:rsidDel="00000000" w:rsidP="00000000" w:rsidRDefault="00000000" w:rsidRPr="00000000" w14:paraId="0000007A">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Gestión de usuarios internos de la empresa, roles, permisos y envío de invitaciones.</w:t>
                </w:r>
              </w:p>
              <w:p w:rsidR="00000000" w:rsidDel="00000000" w:rsidP="00000000" w:rsidRDefault="00000000" w:rsidRPr="00000000" w14:paraId="0000007B">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Perfil público de empresa totalmente navegable y sincronizado con cambios internos.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Funcionalidades Transversales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numPr>
                    <w:ilvl w:val="0"/>
                    <w:numId w:val="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Sistema universal de notificaciones con badge, panel desplegable, estados y redirección contextual.</w:t>
                </w:r>
              </w:p>
              <w:p w:rsidR="00000000" w:rsidDel="00000000" w:rsidP="00000000" w:rsidRDefault="00000000" w:rsidRPr="00000000" w14:paraId="0000007E">
                <w:pPr>
                  <w:widowControl w:val="0"/>
                  <w:numPr>
                    <w:ilvl w:val="0"/>
                    <w:numId w:val="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Generación automática de notificaciones para eventos críticos (entrevistas, postulaciones, cambios de estado, etc.).</w:t>
                </w:r>
              </w:p>
              <w:p w:rsidR="00000000" w:rsidDel="00000000" w:rsidP="00000000" w:rsidRDefault="00000000" w:rsidRPr="00000000" w14:paraId="0000007F">
                <w:pPr>
                  <w:widowControl w:val="0"/>
                  <w:numPr>
                    <w:ilvl w:val="0"/>
                    <w:numId w:val="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Conectividad con servicios externos como SII para validación de RUT y autenticación con Google.</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 No Funcionales Cumplidos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Seguridad reforzada (HTTPS/TLS, hashing, anti-XSS, anti-CSRF, bloqueo por intentos).</w:t>
                </w:r>
              </w:p>
              <w:p w:rsidR="00000000" w:rsidDel="00000000" w:rsidP="00000000" w:rsidRDefault="00000000" w:rsidRPr="00000000" w14:paraId="00000082">
                <w:pPr>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Rendimiento óptimo (carga &lt; 3 segundos, actualizaciones en tiempo real).</w:t>
                </w:r>
              </w:p>
              <w:p w:rsidR="00000000" w:rsidDel="00000000" w:rsidP="00000000" w:rsidRDefault="00000000" w:rsidRPr="00000000" w14:paraId="00000083">
                <w:pPr>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Escalabilidad horizontal/vertical y manejo de cargas altas.</w:t>
                </w:r>
              </w:p>
              <w:p w:rsidR="00000000" w:rsidDel="00000000" w:rsidP="00000000" w:rsidRDefault="00000000" w:rsidRPr="00000000" w14:paraId="00000084">
                <w:pPr>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Disponibilidad del 99% y manejo de fallos externos.</w:t>
                </w:r>
              </w:p>
              <w:p w:rsidR="00000000" w:rsidDel="00000000" w:rsidP="00000000" w:rsidRDefault="00000000" w:rsidRPr="00000000" w14:paraId="00000085">
                <w:pPr>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Mantenibilidad mediante código modular, documentación y registro de eventos.</w:t>
                </w:r>
              </w:p>
              <w:p w:rsidR="00000000" w:rsidDel="00000000" w:rsidP="00000000" w:rsidRDefault="00000000" w:rsidRPr="00000000" w14:paraId="00000086">
                <w:pPr>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Compatibilidad con múltiples navegadores y dispositivos responsivos.</w:t>
                </w:r>
              </w:p>
              <w:p w:rsidR="00000000" w:rsidDel="00000000" w:rsidP="00000000" w:rsidRDefault="00000000" w:rsidRPr="00000000" w14:paraId="00000087">
                <w:pPr>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Usabilidad bajo estándares WCAG 2.1 AA, interfaz intuitiva y consistente.</w:t>
                </w:r>
              </w:p>
            </w:tc>
          </w:tr>
        </w:tbl>
      </w:sdtContent>
    </w:sdt>
    <w:p w:rsidR="00000000" w:rsidDel="00000000" w:rsidP="00000000" w:rsidRDefault="00000000" w:rsidRPr="00000000" w14:paraId="00000088">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after="0" w:before="0" w:line="240" w:lineRule="auto"/>
        <w:ind w:left="0" w:firstLine="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3. Matriz de Verificación de Alcance </w:t>
      </w:r>
      <w:r w:rsidDel="00000000" w:rsidR="00000000" w:rsidRPr="00000000">
        <w:rPr>
          <w:rtl w:val="0"/>
        </w:rPr>
      </w:r>
    </w:p>
    <w:p w:rsidR="00000000" w:rsidDel="00000000" w:rsidP="00000000" w:rsidRDefault="00000000" w:rsidRPr="00000000" w14:paraId="0000009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siguiente matriz presenta la verificación formal del alcance del proyecto JobFlex – Plataforma de Empleo Multiperfil. Para cada entregable se validó el funcionamiento real en el sistema operativo publicado en ambiente web, confirmando que la implementación cumple con lo declarado en los requerimientos funcionales y no funcionales definidos inicialmente. Las pruebas consideran evidencia directa mediante el sistema en línea, capturas, y revisión de la funcionalidad completa.</w:t>
      </w:r>
    </w:p>
    <w:p w:rsidR="00000000" w:rsidDel="00000000" w:rsidP="00000000" w:rsidRDefault="00000000" w:rsidRPr="00000000" w14:paraId="0000009F">
      <w:pPr>
        <w:spacing w:after="0" w:before="0" w:line="240" w:lineRule="auto"/>
        <w:jc w:val="both"/>
        <w:rPr>
          <w:rFonts w:ascii="Calibri" w:cs="Calibri" w:eastAsia="Calibri" w:hAnsi="Calibri"/>
          <w:sz w:val="24"/>
          <w:szCs w:val="24"/>
        </w:rPr>
      </w:pPr>
      <w:r w:rsidDel="00000000" w:rsidR="00000000" w:rsidRPr="00000000">
        <w:rPr>
          <w:rtl w:val="0"/>
        </w:rPr>
      </w:r>
    </w:p>
    <w:sdt>
      <w:sdtPr>
        <w:lock w:val="contentLocked"/>
        <w:id w:val="-1792568707"/>
        <w:tag w:val="goog_rdk_1"/>
      </w:sdtPr>
      <w:sdtContent>
        <w:tbl>
          <w:tblPr>
            <w:tblStyle w:val="Table2"/>
            <w:tblW w:w="996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1680"/>
            <w:gridCol w:w="2295"/>
            <w:gridCol w:w="1890"/>
            <w:tblGridChange w:id="0">
              <w:tblGrid>
                <w:gridCol w:w="4095"/>
                <w:gridCol w:w="1680"/>
                <w:gridCol w:w="2295"/>
                <w:gridCol w:w="189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Entregable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Cumple el Alcance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Registro de usuarios (candidato/empresa)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Login y autenticación (correo y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Recuperación de contraseña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Creación y gestión de perfiles multiperfil (CV creados / CV subidos)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Página principal y panel del 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Buscador de empleos con filtros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Detalle de ofertas y postulación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Dashboard para empresas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Gestión de ofertas laborales (CRUD)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Gestión de postulaciones e integración candidato–empresa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de entrevistas (agenda + estados)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de roles y permisos (representante, admin, empleado)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Gestión de usuarios internos de 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Notificaciones (candidato y 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Perfil público de 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API y conexión con base de datos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Panel administrativo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 funcional en entorno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Documentación técnica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Documentación entregada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 desplegado y operativo en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Implementado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Enlace al sitio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SI</w:t>
                </w:r>
              </w:p>
            </w:tc>
          </w:tr>
        </w:tbl>
      </w:sdtContent>
    </w:sdt>
    <w:p w:rsidR="00000000" w:rsidDel="00000000" w:rsidP="00000000" w:rsidRDefault="00000000" w:rsidRPr="00000000" w14:paraId="000000F0">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4. Análisis de Cumplimiento </w:t>
      </w:r>
      <w:r w:rsidDel="00000000" w:rsidR="00000000" w:rsidRPr="00000000">
        <w:rPr>
          <w:rtl w:val="0"/>
        </w:rPr>
      </w:r>
    </w:p>
    <w:p w:rsidR="00000000" w:rsidDel="00000000" w:rsidP="00000000" w:rsidRDefault="00000000" w:rsidRPr="00000000" w14:paraId="0000011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presentado demuestra un alto nivel de alineación con el alcance originalmente planificado, evidenciando una gestión adecuada del tiempo, los entregables y las prioridades técnicas definidas en la etapa inicial. Se observa que la totalidad de las funcionalidades consideradas críticas para el prototipo fueron implementadas, sin desviaciones significativas respecto a lo comprometido. Los ajustes realizados durante el desarrollo correspondieron principalmente a mejoras menores de optimización y refinamiento, las cuales no alteraron el alcance establecido, sino que contribuyeron a fortalecer la calidad del producto final.</w:t>
      </w:r>
    </w:p>
    <w:p w:rsidR="00000000" w:rsidDel="00000000" w:rsidP="00000000" w:rsidRDefault="00000000" w:rsidRPr="00000000" w14:paraId="0000011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no se identificaron elementos declarados en el alcance que hayan quedado sin desarrollar; en los casos donde fue necesario realizar adecuaciones, estas se ejecutaron manteniendo coherencia con los requerimientos y sin provocar una ampliación del proyecto. En términos globales, el equipo logró cumplir con un 100% del alcance declarado, demostrando dominio técnico, capacidad de adaptación y disciplina metodológica en la ejecución del proyecto CAPSTONE.</w:t>
      </w:r>
    </w:p>
    <w:p w:rsidR="00000000" w:rsidDel="00000000" w:rsidP="00000000" w:rsidRDefault="00000000" w:rsidRPr="00000000" w14:paraId="0000011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spacing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5. Conclusión</w:t>
      </w:r>
      <w:r w:rsidDel="00000000" w:rsidR="00000000" w:rsidRPr="00000000">
        <w:rPr>
          <w:rtl w:val="0"/>
        </w:rPr>
      </w:r>
    </w:p>
    <w:p w:rsidR="00000000" w:rsidDel="00000000" w:rsidP="00000000" w:rsidRDefault="00000000" w:rsidRPr="00000000" w14:paraId="0000013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del proyecto permitió verificar que el equipo logró cumplir de manera sólida y consistente con los objetivos establecidos en la planificación inicial. La totalidad del alcance definido fue abordada con rigurosidad, manteniendo estándares de calidad acordes a las buenas prácticas de la industria del desarrollo de software y asegurando coherencia entre documentación, programación y almacenamiento de datos. El trabajo evidenció una correcta integración entre los componentes técnicos —tales como la arquitectura propuesta, los flujos de datos y la implementación funcional— y los lineamientos metodológicos definidos desde el inicio.</w:t>
      </w:r>
    </w:p>
    <w:p w:rsidR="00000000" w:rsidDel="00000000" w:rsidP="00000000" w:rsidRDefault="00000000" w:rsidRPr="00000000" w14:paraId="0000013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4">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se observó que las decisiones técnicas adoptadas durante el proceso fueron pertinentes, respondiendo a situaciones reales propias del desarrollo y demostrando autonomía, criterio profesional y capacidad de adaptación sin comprometer el resultado final. No se identificaron desviaciones significativas ni ampliaciones innecesarias del proyecto, lo que refleja un adecuado manejo del alcance y una gestión responsable del tiempo y los recursos.</w:t>
      </w:r>
    </w:p>
    <w:p w:rsidR="00000000" w:rsidDel="00000000" w:rsidP="00000000" w:rsidRDefault="00000000" w:rsidRPr="00000000" w14:paraId="0000013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síntesis, el proyecto cumple de manera satisfactoria con los requisitos planteados, presenta un producto final coherente y funcional, y evidencia el dominio de las competencias necesarias para el desarrollo de soluciones tecnológicas aplicadas.</w:t>
      </w:r>
      <w:r w:rsidDel="00000000" w:rsidR="00000000" w:rsidRPr="00000000">
        <w:rPr>
          <w:rtl w:val="0"/>
        </w:rPr>
      </w:r>
    </w:p>
    <w:p w:rsidR="00000000" w:rsidDel="00000000" w:rsidP="00000000" w:rsidRDefault="00000000" w:rsidRPr="00000000" w14:paraId="0000013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A">
      <w:pPr>
        <w:spacing w:line="276" w:lineRule="auto"/>
        <w:jc w:val="both"/>
        <w:rPr>
          <w:rFonts w:ascii="Calibri" w:cs="Calibri" w:eastAsia="Calibri" w:hAnsi="Calibri"/>
          <w:sz w:val="24"/>
          <w:szCs w:val="24"/>
        </w:rPr>
      </w:pPr>
      <w:r w:rsidDel="00000000" w:rsidR="00000000" w:rsidRPr="00000000">
        <w:rPr>
          <w:rtl w:val="0"/>
        </w:rPr>
      </w:r>
    </w:p>
    <w:sectPr>
      <w:headerReference r:id="rId7" w:type="defaul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tabs>
        <w:tab w:val="center" w:leader="none" w:pos="4252"/>
        <w:tab w:val="right" w:leader="none" w:pos="8504"/>
      </w:tabs>
      <w:spacing w:line="240" w:lineRule="auto"/>
      <w:jc w:val="both"/>
      <w:rPr/>
    </w:pPr>
    <w:r w:rsidDel="00000000" w:rsidR="00000000" w:rsidRPr="00000000">
      <w:rPr>
        <w:rFonts w:ascii="Aptos" w:cs="Aptos" w:eastAsia="Aptos" w:hAnsi="Aptos"/>
        <w:sz w:val="24"/>
        <w:szCs w:val="24"/>
      </w:rPr>
      <w:drawing>
        <wp:inline distB="0" distT="0" distL="0" distR="0">
          <wp:extent cx="1445363" cy="357188"/>
          <wp:effectExtent b="0" l="0" r="0" t="0"/>
          <wp:docPr descr="Logotipo&#10;&#10;El contenido generado por IA puede ser incorrecto." id="4" name="image1.png"/>
          <a:graphic>
            <a:graphicData uri="http://schemas.openxmlformats.org/drawingml/2006/picture">
              <pic:pic>
                <pic:nvPicPr>
                  <pic:cNvPr descr="Logotipo&#10;&#10;El contenido generado por IA puede ser incorrecto." id="0" name="image1.png"/>
                  <pic:cNvPicPr preferRelativeResize="0"/>
                </pic:nvPicPr>
                <pic:blipFill>
                  <a:blip r:embed="rId1"/>
                  <a:srcRect b="0" l="0" r="0" t="0"/>
                  <a:stretch>
                    <a:fillRect/>
                  </a:stretch>
                </pic:blipFill>
                <pic:spPr>
                  <a:xfrm>
                    <a:off x="0" y="0"/>
                    <a:ext cx="1445363" cy="3571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8bXA/1wAT1RHHLj8A1SwelHseQ==">CgMxLjAaHwoBMBIaChgICVIUChJ0YWJsZS54NXhmb2V0ODdhbmYaHwoBMRIaChgICVIUChJ0YWJsZS4zMDI5OHAxdmYzcm0yDmgubG96bTFvdXg1dXFtMg5oLnhzZW9ycWJzdGlidjIOaC5naXNka3hhd2U2NzI4AHIhMWlETnY0ZkZQNHJWUE9xX29nMVVOcXVQVVd5dDgtY3ZX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