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Calibri" w:cs="Calibri" w:eastAsia="Calibri" w:hAnsi="Calibri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Calibri" w:cs="Calibri" w:eastAsia="Calibri" w:hAnsi="Calibri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Calibri" w:cs="Calibri" w:eastAsia="Calibri" w:hAnsi="Calibri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Calibri" w:cs="Calibri" w:eastAsia="Calibri" w:hAnsi="Calibri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Calibri" w:cs="Calibri" w:eastAsia="Calibri" w:hAnsi="Calibri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Calibri" w:cs="Calibri" w:eastAsia="Calibri" w:hAnsi="Calibri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Calibri" w:cs="Calibri" w:eastAsia="Calibri" w:hAnsi="Calibri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Calibri" w:cs="Calibri" w:eastAsia="Calibri" w:hAnsi="Calibri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Calibri" w:cs="Calibri" w:eastAsia="Calibri" w:hAnsi="Calibri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Calibri" w:cs="Calibri" w:eastAsia="Calibri" w:hAnsi="Calibri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rFonts w:ascii="Calibri" w:cs="Calibri" w:eastAsia="Calibri" w:hAnsi="Calibri"/>
          <w:b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48"/>
          <w:szCs w:val="48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sz w:val="48"/>
          <w:szCs w:val="48"/>
          <w:rtl w:val="0"/>
        </w:rPr>
        <w:t xml:space="preserve">DT– Hitos de Desarrollo y 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rFonts w:ascii="Calibri" w:cs="Calibri" w:eastAsia="Calibri" w:hAnsi="Calibri"/>
          <w:color w:val="000000"/>
          <w:sz w:val="48"/>
          <w:szCs w:val="48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48"/>
          <w:szCs w:val="48"/>
          <w:rtl w:val="0"/>
        </w:rPr>
        <w:t xml:space="preserve">Diccionario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Calibri" w:cs="Calibri" w:eastAsia="Calibri" w:hAnsi="Calibri"/>
          <w:i w:val="0"/>
          <w:color w:val="00b050"/>
          <w:sz w:val="36"/>
          <w:szCs w:val="3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color w:val="365f91"/>
          <w:sz w:val="40"/>
          <w:szCs w:val="40"/>
          <w:rtl w:val="0"/>
        </w:rPr>
        <w:t xml:space="preserve">JobFlex - Plataforma de Empleo Multiperfil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i w:val="0"/>
          <w:color w:val="365f91"/>
          <w:sz w:val="36"/>
          <w:szCs w:val="3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rFonts w:ascii="Calibri" w:cs="Calibri" w:eastAsia="Calibri" w:hAnsi="Calibri"/>
          <w:b w:val="1"/>
          <w:i w:val="1"/>
          <w:color w:val="365f91"/>
          <w:sz w:val="36"/>
          <w:szCs w:val="36"/>
          <w:rtl w:val="0"/>
        </w:rPr>
        <w:t xml:space="preserve"> 20/08/2025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Calibri" w:cs="Calibri" w:eastAsia="Calibri" w:hAnsi="Calibri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Calibri" w:cs="Calibri" w:eastAsia="Calibri" w:hAnsi="Calibri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Calibri" w:cs="Calibri" w:eastAsia="Calibri" w:hAnsi="Calibri"/>
          <w:b w:val="1"/>
          <w:color w:val="365f91"/>
          <w:sz w:val="32"/>
          <w:szCs w:val="3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365f91"/>
          <w:sz w:val="32"/>
          <w:szCs w:val="32"/>
          <w:vertAlign w:val="baseline"/>
          <w:rtl w:val="0"/>
        </w:rPr>
        <w:t xml:space="preserve">Tabla de contenido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Calibri" w:cs="Calibri" w:eastAsia="Calibri" w:hAnsi="Calibri"/>
          <w:color w:val="365f91"/>
        </w:rPr>
      </w:pPr>
      <w:r w:rsidDel="00000000" w:rsidR="00000000" w:rsidRPr="00000000">
        <w:rPr>
          <w:rtl w:val="0"/>
        </w:rPr>
      </w:r>
    </w:p>
    <w:sdt>
      <w:sdtPr>
        <w:id w:val="-84067711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  <w:b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rtl w:val="0"/>
            </w:rPr>
            <w:t xml:space="preserve">Información del Proyecto</w:t>
          </w:r>
          <w:hyperlink w:anchor="_heading=h.9o6ja76dvwl8">
            <w:r w:rsidDel="00000000" w:rsidR="00000000" w:rsidRPr="00000000">
              <w:rPr>
                <w:rFonts w:ascii="Calibri" w:cs="Calibri" w:eastAsia="Calibri" w:hAnsi="Calibri"/>
                <w:b w:val="1"/>
                <w:u w:val="none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rtl w:val="0"/>
            </w:rPr>
            <w:t xml:space="preserve">3</w:t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  <w:b w:val="1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rtl w:val="0"/>
            </w:rPr>
            <w:t xml:space="preserve">Vista Jerárquica</w:t>
          </w:r>
          <w:hyperlink w:anchor="_heading=h.9o6ja76dvwl8"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rtl w:val="0"/>
            </w:rPr>
            <w:t xml:space="preserve">3</w:t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  <w:b w:val="1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rtl w:val="0"/>
            </w:rPr>
            <w:t xml:space="preserve">Vista de Árbol</w:t>
          </w:r>
          <w:hyperlink w:anchor="_heading=h.9o6ja76dvwl8"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rtl w:val="0"/>
            </w:rPr>
            <w:t xml:space="preserve">5</w:t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  <w:b w:val="1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rtl w:val="0"/>
            </w:rPr>
            <w:t xml:space="preserve">Diccionario</w:t>
          </w:r>
          <w:hyperlink w:anchor="_heading=h.9o6ja76dvwl8"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rtl w:val="0"/>
            </w:rPr>
            <w:t xml:space="preserve">5</w:t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  <w:b w:val="1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rtl w:val="0"/>
            </w:rPr>
            <w:t xml:space="preserve">Aprobaciones</w:t>
          </w:r>
          <w:hyperlink w:anchor="_heading=h.9o6ja76dvwl8"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rtl w:val="0"/>
            </w:rPr>
            <w:t xml:space="preserve">6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pStyle w:val="Heading1"/>
        <w:spacing w:after="0" w:line="240" w:lineRule="auto"/>
        <w:rPr>
          <w:rFonts w:ascii="Calibri" w:cs="Calibri" w:eastAsia="Calibri" w:hAnsi="Calibri"/>
        </w:rPr>
      </w:pPr>
      <w:bookmarkStart w:colFirst="0" w:colLast="0" w:name="_heading=h.9o6ja76dvwl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365f9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Información del Proyecto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365f9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85"/>
        <w:gridCol w:w="6180"/>
        <w:tblGridChange w:id="0">
          <w:tblGrid>
            <w:gridCol w:w="2685"/>
            <w:gridCol w:w="618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E">
            <w:pPr>
              <w:spacing w:after="0" w:line="276" w:lineRule="auto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Capstone Ibarra. Muñoz, Figueroa y Marquez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0">
            <w:pPr>
              <w:spacing w:after="0" w:line="276" w:lineRule="auto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JobFlex - Plataforma de Empleo Multiperfil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2">
            <w:pPr>
              <w:spacing w:after="0" w:line="276" w:lineRule="auto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Fecha de preparación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18/08/2025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4">
            <w:pPr>
              <w:spacing w:after="0" w:line="276" w:lineRule="auto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Ficticio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6">
            <w:pPr>
              <w:spacing w:after="0" w:line="276" w:lineRule="auto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Patrocinador principal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Ficticio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8">
            <w:pPr>
              <w:spacing w:after="0" w:line="276" w:lineRule="auto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Gerente de 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Alison Ibarra</w:t>
            </w:r>
          </w:p>
        </w:tc>
      </w:tr>
    </w:tbl>
    <w:p w:rsidR="00000000" w:rsidDel="00000000" w:rsidP="00000000" w:rsidRDefault="00000000" w:rsidRPr="00000000" w14:paraId="0000005A">
      <w:pPr>
        <w:spacing w:after="0" w:line="240" w:lineRule="auto"/>
        <w:rPr>
          <w:rFonts w:ascii="Calibri" w:cs="Calibri" w:eastAsia="Calibri" w:hAnsi="Calibri"/>
          <w:b w:val="1"/>
          <w:color w:val="365f91"/>
          <w:sz w:val="32"/>
          <w:szCs w:val="32"/>
        </w:rPr>
      </w:pPr>
      <w:bookmarkStart w:colFirst="0" w:colLast="0" w:name="_heading=h.dbabyj4g3za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color w:val="365f91"/>
        </w:rPr>
      </w:pPr>
      <w:bookmarkStart w:colFirst="0" w:colLast="0" w:name="_heading=h.2nt7malrjwdh" w:id="2"/>
      <w:bookmarkEnd w:id="2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Vista Jerárquica </w:t>
      </w:r>
      <w:r w:rsidDel="00000000" w:rsidR="00000000" w:rsidRPr="00000000">
        <w:rPr>
          <w:rtl w:val="0"/>
        </w:rPr>
      </w:r>
    </w:p>
    <w:sdt>
      <w:sdtPr>
        <w:lock w:val="contentLocked"/>
        <w:id w:val="-863420272"/>
        <w:tag w:val="goog_rdk_0"/>
      </w:sdtPr>
      <w:sdtContent>
        <w:tbl>
          <w:tblPr>
            <w:tblStyle w:val="Table2"/>
            <w:tblW w:w="88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838"/>
            <w:tblGridChange w:id="0">
              <w:tblGrid>
                <w:gridCol w:w="883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sz w:val="26"/>
                    <w:szCs w:val="26"/>
                    <w:rtl w:val="0"/>
                  </w:rPr>
                  <w:t xml:space="preserve">1. JobFlex Plataforma de Empleo Multiperfil</w:t>
                </w:r>
              </w:p>
              <w:p w:rsidR="00000000" w:rsidDel="00000000" w:rsidP="00000000" w:rsidRDefault="00000000" w:rsidRPr="00000000" w14:paraId="000000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   1.1 Análisis</w:t>
                </w:r>
              </w:p>
              <w:p w:rsidR="00000000" w:rsidDel="00000000" w:rsidP="00000000" w:rsidRDefault="00000000" w:rsidRPr="00000000" w14:paraId="000000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      1.1.1.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Definición de objetivos, alcance y responsables (Semana 1)</w:t>
                </w:r>
              </w:p>
              <w:p w:rsidR="00000000" w:rsidDel="00000000" w:rsidP="00000000" w:rsidRDefault="00000000" w:rsidRPr="00000000" w14:paraId="0000005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1.1.1.1.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Elaborar acta de constitución</w:t>
                </w:r>
              </w:p>
              <w:p w:rsidR="00000000" w:rsidDel="00000000" w:rsidP="00000000" w:rsidRDefault="00000000" w:rsidRPr="00000000" w14:paraId="0000006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1.1.1.2.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Asignación de roles y responsabilidades</w:t>
                </w:r>
              </w:p>
              <w:p w:rsidR="00000000" w:rsidDel="00000000" w:rsidP="00000000" w:rsidRDefault="00000000" w:rsidRPr="00000000" w14:paraId="000000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1.1.1.3.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Validación del alcance preliminar</w:t>
                </w:r>
              </w:p>
              <w:p w:rsidR="00000000" w:rsidDel="00000000" w:rsidP="00000000" w:rsidRDefault="00000000" w:rsidRPr="00000000" w14:paraId="0000006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1.1.2.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Levantamiento de requerimientos funcionales y no funcionales (Semana 2)</w:t>
                </w:r>
              </w:p>
              <w:p w:rsidR="00000000" w:rsidDel="00000000" w:rsidP="00000000" w:rsidRDefault="00000000" w:rsidRPr="00000000" w14:paraId="0000006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1.1.2.1.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Documentación de requerimientos</w:t>
                </w:r>
              </w:p>
              <w:p w:rsidR="00000000" w:rsidDel="00000000" w:rsidP="00000000" w:rsidRDefault="00000000" w:rsidRPr="00000000" w14:paraId="0000006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1.1.2.2.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Validación de requerimientos con el equipo</w:t>
                </w:r>
              </w:p>
              <w:p w:rsidR="00000000" w:rsidDel="00000000" w:rsidP="00000000" w:rsidRDefault="00000000" w:rsidRPr="00000000" w14:paraId="0000006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1.1.3.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Planificación y seguimiento inicial (Semana 3)</w:t>
                </w:r>
              </w:p>
              <w:p w:rsidR="00000000" w:rsidDel="00000000" w:rsidP="00000000" w:rsidRDefault="00000000" w:rsidRPr="00000000" w14:paraId="0000006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1.1.3.1.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Crear cronograma Gantt</w:t>
                </w:r>
              </w:p>
              <w:p w:rsidR="00000000" w:rsidDel="00000000" w:rsidP="00000000" w:rsidRDefault="00000000" w:rsidRPr="00000000" w14:paraId="000000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1.1.3.2.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Definir reuniones de seguimiento</w:t>
                </w:r>
              </w:p>
              <w:p w:rsidR="00000000" w:rsidDel="00000000" w:rsidP="00000000" w:rsidRDefault="00000000" w:rsidRPr="00000000" w14:paraId="0000006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1.1.3.3.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Establecer métricas de control de avances</w:t>
                </w:r>
              </w:p>
              <w:p w:rsidR="00000000" w:rsidDel="00000000" w:rsidP="00000000" w:rsidRDefault="00000000" w:rsidRPr="00000000" w14:paraId="0000006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   1.2 Diseño</w:t>
                </w:r>
              </w:p>
              <w:p w:rsidR="00000000" w:rsidDel="00000000" w:rsidP="00000000" w:rsidRDefault="00000000" w:rsidRPr="00000000" w14:paraId="0000006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      1.2.1.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Diseño de arquitectura general (Semana 4)</w:t>
                </w:r>
              </w:p>
              <w:p w:rsidR="00000000" w:rsidDel="00000000" w:rsidP="00000000" w:rsidRDefault="00000000" w:rsidRPr="00000000" w14:paraId="0000006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1.2.1.1.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Diagrama de arquitectura (frontend, backend, base de datos, nube)</w:t>
                </w:r>
              </w:p>
              <w:p w:rsidR="00000000" w:rsidDel="00000000" w:rsidP="00000000" w:rsidRDefault="00000000" w:rsidRPr="00000000" w14:paraId="0000006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1.2.1.2.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Especificación de diseño funcional</w:t>
                </w:r>
              </w:p>
              <w:p w:rsidR="00000000" w:rsidDel="00000000" w:rsidP="00000000" w:rsidRDefault="00000000" w:rsidRPr="00000000" w14:paraId="0000006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1.2.2.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Modelado de base de datos (Semana 5)</w:t>
                </w:r>
              </w:p>
              <w:p w:rsidR="00000000" w:rsidDel="00000000" w:rsidP="00000000" w:rsidRDefault="00000000" w:rsidRPr="00000000" w14:paraId="0000006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1.2.2.1.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Diseño lógico y físico</w:t>
                </w:r>
              </w:p>
              <w:p w:rsidR="00000000" w:rsidDel="00000000" w:rsidP="00000000" w:rsidRDefault="00000000" w:rsidRPr="00000000" w14:paraId="0000006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1.2.2.2.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Revisión y validación del modelo con el equipo</w:t>
                </w:r>
              </w:p>
              <w:p w:rsidR="00000000" w:rsidDel="00000000" w:rsidP="00000000" w:rsidRDefault="00000000" w:rsidRPr="00000000" w14:paraId="0000007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   1.3 Desarrollo</w:t>
                </w:r>
              </w:p>
              <w:p w:rsidR="00000000" w:rsidDel="00000000" w:rsidP="00000000" w:rsidRDefault="00000000" w:rsidRPr="00000000" w14:paraId="0000007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      1.3.1.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Desarrollo de base de datos (Semana 6)</w:t>
                </w:r>
              </w:p>
              <w:p w:rsidR="00000000" w:rsidDel="00000000" w:rsidP="00000000" w:rsidRDefault="00000000" w:rsidRPr="00000000" w14:paraId="0000007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1.3.1.1.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Creación de tablas, relaciones y rutinas SQL</w:t>
                </w:r>
              </w:p>
              <w:p w:rsidR="00000000" w:rsidDel="00000000" w:rsidP="00000000" w:rsidRDefault="00000000" w:rsidRPr="00000000" w14:paraId="0000007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1.3.1.2.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Pruebas iniciales de consultas</w:t>
                </w:r>
              </w:p>
              <w:p w:rsidR="00000000" w:rsidDel="00000000" w:rsidP="00000000" w:rsidRDefault="00000000" w:rsidRPr="00000000" w14:paraId="0000007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1.3.2.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Desarrollo Backend – Lógica de negocio y servicios (Semana 7-9)</w:t>
                </w:r>
              </w:p>
              <w:p w:rsidR="00000000" w:rsidDel="00000000" w:rsidP="00000000" w:rsidRDefault="00000000" w:rsidRPr="00000000" w14:paraId="0000007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1.3.2.1.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Implementación de APIs y servicios</w:t>
                </w:r>
              </w:p>
              <w:p w:rsidR="00000000" w:rsidDel="00000000" w:rsidP="00000000" w:rsidRDefault="00000000" w:rsidRPr="00000000" w14:paraId="0000007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1.3.2.2.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Pruebas unitarias iniciales</w:t>
                </w:r>
              </w:p>
              <w:p w:rsidR="00000000" w:rsidDel="00000000" w:rsidP="00000000" w:rsidRDefault="00000000" w:rsidRPr="00000000" w14:paraId="0000007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1.3.3.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Desarrollo Frontend – Interfaz de usuarios y empresas (Semana 10-11)</w:t>
                </w:r>
              </w:p>
              <w:p w:rsidR="00000000" w:rsidDel="00000000" w:rsidP="00000000" w:rsidRDefault="00000000" w:rsidRPr="00000000" w14:paraId="0000007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1.3.3.1.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Creación de interfaces web y paneles</w:t>
                </w:r>
              </w:p>
              <w:p w:rsidR="00000000" w:rsidDel="00000000" w:rsidP="00000000" w:rsidRDefault="00000000" w:rsidRPr="00000000" w14:paraId="0000007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1.3.3.2.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Integración con backend</w:t>
                </w:r>
              </w:p>
              <w:p w:rsidR="00000000" w:rsidDel="00000000" w:rsidP="00000000" w:rsidRDefault="00000000" w:rsidRPr="00000000" w14:paraId="0000007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   1.4 Pruebas</w:t>
                </w:r>
              </w:p>
              <w:p w:rsidR="00000000" w:rsidDel="00000000" w:rsidP="00000000" w:rsidRDefault="00000000" w:rsidRPr="00000000" w14:paraId="0000007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      1.4.1.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Integración de módulos (Semana 12)</w:t>
                </w:r>
              </w:p>
              <w:p w:rsidR="00000000" w:rsidDel="00000000" w:rsidP="00000000" w:rsidRDefault="00000000" w:rsidRPr="00000000" w14:paraId="0000007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1.4.1.1.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Conexión frontend, backend y base de datos</w:t>
                </w:r>
              </w:p>
              <w:p w:rsidR="00000000" w:rsidDel="00000000" w:rsidP="00000000" w:rsidRDefault="00000000" w:rsidRPr="00000000" w14:paraId="0000007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1.4.1.2.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Pruebas integrales del sistema</w:t>
                </w:r>
              </w:p>
              <w:p w:rsidR="00000000" w:rsidDel="00000000" w:rsidP="00000000" w:rsidRDefault="00000000" w:rsidRPr="00000000" w14:paraId="0000007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1.4.2.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Pruebas unitarias, integrales y validación de la plataforma (Semana 13)</w:t>
                </w:r>
              </w:p>
              <w:p w:rsidR="00000000" w:rsidDel="00000000" w:rsidP="00000000" w:rsidRDefault="00000000" w:rsidRPr="00000000" w14:paraId="0000007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1.4.2.1.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Corrección de errores detectados</w:t>
                </w:r>
              </w:p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1.4.2.2.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Validación funcional y de seguridad</w:t>
                </w:r>
              </w:p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   1.5 Implementación / Producción</w:t>
                </w:r>
              </w:p>
              <w:p w:rsidR="00000000" w:rsidDel="00000000" w:rsidP="00000000" w:rsidRDefault="00000000" w:rsidRPr="00000000" w14:paraId="0000008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      1.5.1.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Ajustes finales de seguridad, rendimiento y consistencia de datos (Semana 14)</w:t>
                </w:r>
              </w:p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1.5.1.1.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Revisión de vulnerabilidades y ajustes de seguridad</w:t>
                </w:r>
              </w:p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1.5.1.2.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Optimización de rendimiento del sistema</w:t>
                </w:r>
              </w:p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1.5.1.3.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Verificación de consistencia de datos en base de datos y módulos</w:t>
                </w:r>
              </w:p>
              <w:p w:rsidR="00000000" w:rsidDel="00000000" w:rsidP="00000000" w:rsidRDefault="00000000" w:rsidRPr="00000000" w14:paraId="0000008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1.5.2.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Paso a producción (Semana 15)</w:t>
                </w:r>
              </w:p>
              <w:p w:rsidR="00000000" w:rsidDel="00000000" w:rsidP="00000000" w:rsidRDefault="00000000" w:rsidRPr="00000000" w14:paraId="0000008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1.5.2.1.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Migración de base de datos a entorno de producción</w:t>
                </w:r>
              </w:p>
              <w:p w:rsidR="00000000" w:rsidDel="00000000" w:rsidP="00000000" w:rsidRDefault="00000000" w:rsidRPr="00000000" w14:paraId="0000008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1.5.2.2.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Despliegue de backend y frontend en servidores finales</w:t>
                </w:r>
              </w:p>
              <w:p w:rsidR="00000000" w:rsidDel="00000000" w:rsidP="00000000" w:rsidRDefault="00000000" w:rsidRPr="00000000" w14:paraId="0000008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1.5.2.3.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Configuración de accesos y roles de usuario</w:t>
                </w:r>
              </w:p>
              <w:p w:rsidR="00000000" w:rsidDel="00000000" w:rsidP="00000000" w:rsidRDefault="00000000" w:rsidRPr="00000000" w14:paraId="0000008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      1.5.3.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Pruebas finales en entorno de producción y corrección de observaciones (Semana 16-17)</w:t>
                </w:r>
              </w:p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1.5.3.1.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Pruebas finales de integración y aceptación de usuario</w:t>
                </w:r>
              </w:p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1.5.3.2.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Corrección de errores detectados en producción</w:t>
                </w:r>
              </w:p>
              <w:p w:rsidR="00000000" w:rsidDel="00000000" w:rsidP="00000000" w:rsidRDefault="00000000" w:rsidRPr="00000000" w14:paraId="0000008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1.5.3.3.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Validación de funcionalidades críticas y métricas de desempeño</w:t>
                </w:r>
              </w:p>
              <w:p w:rsidR="00000000" w:rsidDel="00000000" w:rsidP="00000000" w:rsidRDefault="00000000" w:rsidRPr="00000000" w14:paraId="0000008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   1.6 Cierre</w:t>
                </w:r>
              </w:p>
              <w:p w:rsidR="00000000" w:rsidDel="00000000" w:rsidP="00000000" w:rsidRDefault="00000000" w:rsidRPr="00000000" w14:paraId="0000008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      1.6.1.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Preparación y entrega de presentación del proyecto (Semana 18)</w:t>
                </w:r>
              </w:p>
              <w:p w:rsidR="00000000" w:rsidDel="00000000" w:rsidP="00000000" w:rsidRDefault="00000000" w:rsidRPr="00000000" w14:paraId="0000009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1.6.1.1.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Preparación de documentación final</w:t>
                </w:r>
              </w:p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1.6.1.2.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Presentación final ante comisión</w:t>
                </w:r>
              </w:p>
            </w:tc>
          </w:tr>
        </w:tbl>
      </w:sdtContent>
    </w:sdt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h2xgzkh0b32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Vista de Árbol </w:t>
      </w:r>
      <w:r w:rsidDel="00000000" w:rsidR="00000000" w:rsidRPr="00000000">
        <w:rPr>
          <w:rtl w:val="0"/>
        </w:rPr>
      </w:r>
    </w:p>
    <w:sdt>
      <w:sdtPr>
        <w:lock w:val="contentLocked"/>
        <w:id w:val="-934768052"/>
        <w:tag w:val="goog_rdk_1"/>
      </w:sdtPr>
      <w:sdtContent>
        <w:tbl>
          <w:tblPr>
            <w:tblStyle w:val="Table3"/>
            <w:tblW w:w="88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838"/>
            <w:tblGridChange w:id="0">
              <w:tblGrid>
                <w:gridCol w:w="883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spacing w:line="240" w:lineRule="auto"/>
                  <w:rPr>
                    <w:rFonts w:ascii="Calibri" w:cs="Calibri" w:eastAsia="Calibri" w:hAnsi="Calibri"/>
                    <w:b w:val="1"/>
                    <w:color w:val="365f9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color w:val="365f91"/>
                  </w:rPr>
                  <w:drawing>
                    <wp:inline distB="114300" distT="114300" distL="114300" distR="114300">
                      <wp:extent cx="5467350" cy="2374900"/>
                      <wp:effectExtent b="0" l="0" r="0" t="0"/>
                      <wp:docPr id="1028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467350" cy="2374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Para una mejor visualización acceder al siguiente link:</w:t>
      </w:r>
      <w:r w:rsidDel="00000000" w:rsidR="00000000" w:rsidRPr="00000000">
        <w:rPr>
          <w:rFonts w:ascii="Calibri" w:cs="Calibri" w:eastAsia="Calibri" w:hAnsi="Calibri"/>
          <w:b w:val="1"/>
          <w:color w:val="365f91"/>
          <w:rtl w:val="0"/>
        </w:rPr>
        <w:t xml:space="preserve"> </w:t>
      </w:r>
      <w:hyperlink r:id="rId8">
        <w:r w:rsidDel="00000000" w:rsidR="00000000" w:rsidRPr="00000000">
          <w:rPr>
            <w:rFonts w:ascii="Calibri" w:cs="Calibri" w:eastAsia="Calibri" w:hAnsi="Calibri"/>
            <w:b w:val="1"/>
            <w:i w:val="1"/>
            <w:color w:val="1155cc"/>
            <w:u w:val="single"/>
            <w:rtl w:val="0"/>
          </w:rPr>
          <w:t xml:space="preserve">Vista de Árbol</w:t>
        </w:r>
      </w:hyperlink>
      <w:r w:rsidDel="00000000" w:rsidR="00000000" w:rsidRPr="00000000">
        <w:rPr>
          <w:rFonts w:ascii="Calibri" w:cs="Calibri" w:eastAsia="Calibri" w:hAnsi="Calibri"/>
          <w:b w:val="1"/>
          <w:color w:val="365f91"/>
          <w:rtl w:val="0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color w:val="365f91"/>
          <w:sz w:val="32"/>
          <w:szCs w:val="32"/>
          <w:rtl w:val="0"/>
        </w:rPr>
        <w:t xml:space="preserve">Diccionario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365f91"/>
        </w:rPr>
      </w:pPr>
      <w:r w:rsidDel="00000000" w:rsidR="00000000" w:rsidRPr="00000000">
        <w:rPr>
          <w:rFonts w:ascii="Calibri" w:cs="Calibri" w:eastAsia="Calibri" w:hAnsi="Calibri"/>
          <w:color w:val="365f91"/>
        </w:rPr>
        <w:drawing>
          <wp:inline distB="114300" distT="114300" distL="114300" distR="114300">
            <wp:extent cx="5612130" cy="2692400"/>
            <wp:effectExtent b="0" l="0" r="0" t="0"/>
            <wp:docPr id="102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Diccionario EDT completo con todas las actividades, descripciones, entregables, responsables, criterios de aceptación, recursos principales y dependencias se encuentra disponible en el siguiente enlace para su revisión detallada: </w:t>
      </w:r>
      <w:hyperlink r:id="rId10">
        <w:r w:rsidDel="00000000" w:rsidR="00000000" w:rsidRPr="00000000">
          <w:rPr>
            <w:rFonts w:ascii="Calibri" w:cs="Calibri" w:eastAsia="Calibri" w:hAnsi="Calibri"/>
            <w:i w:val="1"/>
            <w:color w:val="1155cc"/>
            <w:u w:val="single"/>
            <w:rtl w:val="0"/>
          </w:rPr>
          <w:t xml:space="preserve">Diccionario EDT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Aprobaciones</w:t>
      </w:r>
      <w:r w:rsidDel="00000000" w:rsidR="00000000" w:rsidRPr="00000000">
        <w:rPr>
          <w:rtl w:val="0"/>
        </w:rPr>
      </w:r>
    </w:p>
    <w:sdt>
      <w:sdtPr>
        <w:lock w:val="contentLocked"/>
        <w:id w:val="861368828"/>
        <w:tag w:val="goog_rdk_2"/>
      </w:sdtPr>
      <w:sdtContent>
        <w:tbl>
          <w:tblPr>
            <w:tblStyle w:val="Table4"/>
            <w:tblW w:w="88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46"/>
            <w:gridCol w:w="2946"/>
            <w:gridCol w:w="2946"/>
            <w:tblGridChange w:id="0">
              <w:tblGrid>
                <w:gridCol w:w="2946"/>
                <w:gridCol w:w="2946"/>
                <w:gridCol w:w="294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3">
                <w:pPr>
                  <w:widowControl w:val="0"/>
                  <w:spacing w:after="0" w:line="276" w:lineRule="auto"/>
                  <w:jc w:val="center"/>
                  <w:rPr>
                    <w:rFonts w:ascii="Calibri" w:cs="Calibri" w:eastAsia="Calibri" w:hAnsi="Calibri"/>
                    <w:b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Patrocinador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4">
                <w:pPr>
                  <w:widowControl w:val="0"/>
                  <w:spacing w:after="0" w:line="276" w:lineRule="auto"/>
                  <w:jc w:val="center"/>
                  <w:rPr>
                    <w:rFonts w:ascii="Calibri" w:cs="Calibri" w:eastAsia="Calibri" w:hAnsi="Calibri"/>
                    <w:b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Fecha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5">
                <w:pPr>
                  <w:widowControl w:val="0"/>
                  <w:spacing w:after="0" w:line="276" w:lineRule="auto"/>
                  <w:jc w:val="center"/>
                  <w:rPr>
                    <w:rFonts w:ascii="Calibri" w:cs="Calibri" w:eastAsia="Calibri" w:hAnsi="Calibri"/>
                    <w:b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Firma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6">
                <w:pPr>
                  <w:widowControl w:val="0"/>
                  <w:spacing w:after="0"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Líder de Proyecto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7">
                <w:pPr>
                  <w:widowControl w:val="0"/>
                  <w:spacing w:after="0"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20/08/2025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8">
                <w:pPr>
                  <w:widowControl w:val="0"/>
                  <w:spacing w:after="0"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Alison Ibarra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9">
                <w:pPr>
                  <w:widowControl w:val="0"/>
                  <w:spacing w:after="0"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Líder de Proyecto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A">
                <w:pPr>
                  <w:widowControl w:val="0"/>
                  <w:spacing w:after="0"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20/08/2025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B">
                <w:pPr>
                  <w:widowControl w:val="0"/>
                  <w:spacing w:after="0"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Italo Muñoz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C">
                <w:pPr>
                  <w:widowControl w:val="0"/>
                  <w:spacing w:after="0"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Líder de Proyecto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D">
                <w:pPr>
                  <w:widowControl w:val="0"/>
                  <w:spacing w:after="0"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20/08/2025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E">
                <w:pPr>
                  <w:widowControl w:val="0"/>
                  <w:spacing w:after="0"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José Figueroa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F">
                <w:pPr>
                  <w:widowControl w:val="0"/>
                  <w:spacing w:after="0"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Líder de Proyecto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0">
                <w:pPr>
                  <w:widowControl w:val="0"/>
                  <w:spacing w:after="0"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20/08/2025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1">
                <w:pPr>
                  <w:widowControl w:val="0"/>
                  <w:spacing w:after="0"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Juan Ignacio Marquez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2">
                <w:pPr>
                  <w:widowControl w:val="0"/>
                  <w:spacing w:after="0"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Docente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3">
                <w:pPr>
                  <w:widowControl w:val="0"/>
                  <w:spacing w:after="0"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20/08/2025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4">
                <w:pPr>
                  <w:widowControl w:val="0"/>
                  <w:spacing w:after="0"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Francia Berna</w:t>
                </w:r>
              </w:p>
            </w:tc>
          </w:tr>
        </w:tbl>
      </w:sdtContent>
    </w:sdt>
    <w:p w:rsidR="00000000" w:rsidDel="00000000" w:rsidP="00000000" w:rsidRDefault="00000000" w:rsidRPr="00000000" w14:paraId="000000B5">
      <w:pPr>
        <w:spacing w:before="280" w:line="240" w:lineRule="auto"/>
        <w:rPr>
          <w:rFonts w:ascii="Calibri" w:cs="Calibri" w:eastAsia="Calibri" w:hAnsi="Calibri"/>
          <w:b w:val="1"/>
          <w:color w:val="365f91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(http://www.pmoinformatica.com)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i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i w:val="0"/>
        <w:smallCaps w:val="0"/>
        <w:strike w:val="0"/>
        <w:color w:val="365f9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1"/>
        <w:smallCaps w:val="0"/>
        <w:strike w:val="0"/>
        <w:color w:val="365f91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-85724</wp:posOffset>
              </wp:positionH>
              <wp:positionV relativeFrom="paragraph">
                <wp:posOffset>185420</wp:posOffset>
              </wp:positionV>
              <wp:extent cx="5760720" cy="200660"/>
              <wp:effectExtent b="0" l="0" r="0" t="0"/>
              <wp:wrapNone/>
              <wp:docPr id="102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-85724</wp:posOffset>
              </wp:positionH>
              <wp:positionV relativeFrom="paragraph">
                <wp:posOffset>185420</wp:posOffset>
              </wp:positionV>
              <wp:extent cx="5760720" cy="200660"/>
              <wp:effectExtent b="0" l="0" r="0" t="0"/>
              <wp:wrapNone/>
              <wp:docPr id="102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0720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 w:bidi="ar-SA" w:eastAsia="und" w:val="und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 w:bidi="ar-SA" w:eastAsia="und" w:val="und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und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und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/>
    </w:rPr>
  </w:style>
  <w:style w:type="character" w:styleId="Título2Car">
    <w:name w:val="Título 2 Car"/>
    <w:next w:val="Título2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ítulodeTDC">
    <w:name w:val="Título de TDC"/>
    <w:basedOn w:val="Título1"/>
    <w:next w:val="Normal"/>
    <w:autoRedefine w:val="0"/>
    <w:hidden w:val="0"/>
    <w:qFormat w:val="1"/>
    <w:pPr>
      <w:keepNext w:val="1"/>
      <w:keepLines w:val="1"/>
      <w:suppressAutoHyphens w:val="1"/>
      <w:spacing w:after="0" w:afterAutospacing="0" w:before="480" w:beforeAutospacing="0" w:line="276" w:lineRule="auto"/>
      <w:ind w:leftChars="-1" w:rightChars="0" w:firstLineChars="-1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ar-SA" w:eastAsia="und" w:val="und"/>
    </w:rPr>
  </w:style>
  <w:style w:type="paragraph" w:styleId="TDC1">
    <w:name w:val="TDC 1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2">
    <w:name w:val="TDC 2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="22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3">
    <w:name w:val="TDC 3"/>
    <w:basedOn w:val="Normal"/>
    <w:next w:val="Normal"/>
    <w:autoRedefine w:val="0"/>
    <w:hidden w:val="0"/>
    <w:qFormat w:val="1"/>
    <w:pPr>
      <w:suppressAutoHyphens w:val="1"/>
      <w:spacing w:after="100" w:line="276" w:lineRule="auto"/>
      <w:ind w:left="440"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4"/>
      <w:szCs w:val="22"/>
      <w:effect w:val="none"/>
      <w:vertAlign w:val="baseline"/>
      <w:cs w:val="0"/>
      <w:em w:val="none"/>
      <w:lang w:bidi="ar-SA" w:eastAsia="es-VE" w:val="es-VE"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docs.google.com/spreadsheets/d/1WeoWYlbITviJnio5dwEu_PIE4-Dqgpp3qIwXKgWmRXc/edit?usp=sharing" TargetMode="External"/><Relationship Id="rId12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ocs.google.com/spreadsheets/d/1WeoWYlbITviJnio5dwEu_PIE4-Dqgpp3qIwXKgWmRXc/edit?usp=sharing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PwNEubuBmlOfdFJL+PaCVxP3sQ==">CgMxLjAaHwoBMBIaChgICVIUChJ0YWJsZS5oY29nbTBiamk5OTMaHwoBMRIaChgICVIUChJ0YWJsZS5mY2NtaWZrdmp5NWMaHwoBMhIaChgICVIUChJ0YWJsZS5xd3Exc3hicGRrN2oyDmguOW82amE3NmR2d2w4Mg5oLmRiYWJ5ajRnM3phaDIOaC4ybnQ3bWFscmp3ZGgyDmguaDJ4Z3praDBiMzJjOAByITFBVFJ1UTM2RGpER1BlVzBtNkx1VWpLTFBVMzByYUp6bw==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2012-10-28T15:38:00Z</dcterms:created>
  <dc:creator>admin</dc:creator>
</cp:coreProperties>
</file>