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rFonts w:ascii="Calibri" w:cs="Calibri" w:eastAsia="Calibri" w:hAnsi="Calibri"/>
          <w:b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48"/>
          <w:szCs w:val="48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48"/>
          <w:szCs w:val="48"/>
          <w:rtl w:val="0"/>
        </w:rPr>
        <w:t xml:space="preserve">DT– Hitos de Desarrollo y 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rFonts w:ascii="Calibri" w:cs="Calibri" w:eastAsia="Calibri" w:hAnsi="Calibri"/>
          <w:color w:val="000000"/>
          <w:sz w:val="48"/>
          <w:szCs w:val="48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48"/>
          <w:szCs w:val="48"/>
          <w:rtl w:val="0"/>
        </w:rPr>
        <w:t xml:space="preserve">Diccionario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i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365f91"/>
          <w:sz w:val="40"/>
          <w:szCs w:val="40"/>
          <w:rtl w:val="0"/>
        </w:rPr>
        <w:t xml:space="preserve">JobFlex - Plataforma de Empleo Multiperfil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i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365f91"/>
          <w:sz w:val="36"/>
          <w:szCs w:val="36"/>
          <w:rtl w:val="0"/>
        </w:rPr>
        <w:t xml:space="preserve"> 20/08/2025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Calibri" w:cs="Calibri" w:eastAsia="Calibri" w:hAnsi="Calibri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Calibri" w:cs="Calibri" w:eastAsia="Calibri" w:hAnsi="Calibri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Calibri" w:cs="Calibri" w:eastAsia="Calibri" w:hAnsi="Calibri"/>
          <w:b w:val="1"/>
          <w:color w:val="365f91"/>
          <w:sz w:val="32"/>
          <w:szCs w:val="3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365f91"/>
          <w:sz w:val="32"/>
          <w:szCs w:val="32"/>
          <w:vertAlign w:val="baseline"/>
          <w:rtl w:val="0"/>
        </w:rPr>
        <w:t xml:space="preserve">Tabla de contenido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sdt>
      <w:sdtPr>
        <w:id w:val="2379734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Información del Proyecto</w:t>
          </w:r>
          <w:hyperlink w:anchor="_heading=h.9o6ja76dvwl8">
            <w:r w:rsidDel="00000000" w:rsidR="00000000" w:rsidRPr="00000000">
              <w:rPr>
                <w:rFonts w:ascii="Calibri" w:cs="Calibri" w:eastAsia="Calibri" w:hAnsi="Calibri"/>
                <w:b w:val="1"/>
                <w:u w:val="none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3</w:t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Vista Jerárquica</w:t>
          </w:r>
          <w:hyperlink w:anchor="_heading=h.9o6ja76dvwl8"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3</w:t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Vista de Árbol</w:t>
          </w:r>
          <w:hyperlink w:anchor="_heading=h.9o6ja76dvwl8"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5</w:t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Diccionario</w:t>
          </w:r>
          <w:hyperlink w:anchor="_heading=h.9o6ja76dvwl8"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5</w:t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Aprobaciones</w:t>
          </w:r>
          <w:hyperlink w:anchor="_heading=h.9o6ja76dvwl8"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6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1"/>
        <w:spacing w:after="0" w:line="240" w:lineRule="auto"/>
        <w:rPr>
          <w:rFonts w:ascii="Calibri" w:cs="Calibri" w:eastAsia="Calibri" w:hAnsi="Calibri"/>
        </w:rPr>
      </w:pPr>
      <w:bookmarkStart w:colFirst="0" w:colLast="0" w:name="_heading=h.9o6ja76dvwl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365f9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85"/>
        <w:gridCol w:w="6180"/>
        <w:tblGridChange w:id="0">
          <w:tblGrid>
            <w:gridCol w:w="2685"/>
            <w:gridCol w:w="618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E">
            <w:pPr>
              <w:spacing w:after="0" w:line="276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Capstone Ibarra. Muñoz, Figueroa y Marquez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0">
            <w:pPr>
              <w:spacing w:after="0" w:line="276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JobFlex - Plataforma de Empleo Multiperfil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2">
            <w:pPr>
              <w:spacing w:after="0" w:line="276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18/08/2025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4">
            <w:pPr>
              <w:spacing w:after="0" w:line="276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Ficticio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6">
            <w:pPr>
              <w:spacing w:after="0" w:line="276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Ficticio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8">
            <w:pPr>
              <w:spacing w:after="0" w:line="276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Gerente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Alison Ibarra</w:t>
            </w:r>
          </w:p>
        </w:tc>
      </w:tr>
    </w:tbl>
    <w:p w:rsidR="00000000" w:rsidDel="00000000" w:rsidP="00000000" w:rsidRDefault="00000000" w:rsidRPr="00000000" w14:paraId="0000005A">
      <w:pPr>
        <w:spacing w:after="0" w:line="240" w:lineRule="auto"/>
        <w:rPr>
          <w:rFonts w:ascii="Calibri" w:cs="Calibri" w:eastAsia="Calibri" w:hAnsi="Calibri"/>
          <w:b w:val="1"/>
          <w:color w:val="365f91"/>
          <w:sz w:val="32"/>
          <w:szCs w:val="32"/>
        </w:rPr>
      </w:pPr>
      <w:bookmarkStart w:colFirst="0" w:colLast="0" w:name="_heading=h.dbabyj4g3za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color w:val="365f91"/>
        </w:rPr>
      </w:pPr>
      <w:bookmarkStart w:colFirst="0" w:colLast="0" w:name="_heading=h.2nt7malrjwdh" w:id="2"/>
      <w:bookmarkEnd w:id="2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Vista Jerárquica </w:t>
      </w:r>
      <w:r w:rsidDel="00000000" w:rsidR="00000000" w:rsidRPr="00000000">
        <w:rPr>
          <w:rtl w:val="0"/>
        </w:rPr>
      </w:r>
    </w:p>
    <w:sdt>
      <w:sdtPr>
        <w:lock w:val="contentLocked"/>
        <w:id w:val="299192854"/>
        <w:tag w:val="goog_rdk_0"/>
      </w:sdtPr>
      <w:sdtContent>
        <w:tbl>
          <w:tblPr>
            <w:tblStyle w:val="Table2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838"/>
            <w:tblGridChange w:id="0">
              <w:tblGrid>
                <w:gridCol w:w="88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6"/>
                    <w:szCs w:val="26"/>
                    <w:rtl w:val="0"/>
                  </w:rPr>
                  <w:t xml:space="preserve">1. JobFlex Plataforma de Empleo Multiperfil</w:t>
                </w:r>
              </w:p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   1.1 Análisis</w:t>
                </w:r>
              </w:p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      1.1.1.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Definición de objetivos, alcance y responsables (Semana 1)</w:t>
                </w:r>
              </w:p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1.1.1.1.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Elaborar acta de constitución</w:t>
                </w:r>
              </w:p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1.1.1.2.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Asignación de roles y responsabilidades</w:t>
                </w:r>
              </w:p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1.1.1.3.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Validación del alcance preliminar</w:t>
                </w:r>
              </w:p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1.1.2.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Levantamiento de requerimientos funcionales y no funcionales (Semana 2)</w:t>
                </w:r>
              </w:p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1.1.2.1.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Documentación de requerimientos</w:t>
                </w:r>
              </w:p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1.1.2.2.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Validación de requerimientos con el equipo</w:t>
                </w:r>
              </w:p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1.1.3.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Planificación y seguimiento inicial (Semana 3)</w:t>
                </w:r>
              </w:p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1.1.3.1.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Crear cronograma Gantt</w:t>
                </w:r>
              </w:p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1.1.3.2.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Definir reuniones de seguimiento</w:t>
                </w:r>
              </w:p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1.1.3.3.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Establecer métricas de control de avances</w:t>
                </w:r>
              </w:p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   1.2 Diseño</w:t>
                </w:r>
              </w:p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      1.2.1.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Diseño de arquitectura general (Semana 4)</w:t>
                </w:r>
              </w:p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1.2.1.1.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Diagrama de arquitectura (frontend, backend, base de datos, nube)</w:t>
                </w:r>
              </w:p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1.2.1.2.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Especificación de diseño funcional</w:t>
                </w:r>
              </w:p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1.2.2.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Modelado de base de datos (Semana 5)</w:t>
                </w:r>
              </w:p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1.2.2.1.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Diseño lógico y físico</w:t>
                </w:r>
              </w:p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1.2.2.2.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Revisión y validación del modelo con el equipo</w:t>
                </w:r>
              </w:p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   1.3 Desarrollo</w:t>
                </w:r>
              </w:p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      1.3.1.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Desarrollo de base de datos (Semana 6)</w:t>
                </w:r>
              </w:p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1.3.1.1.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Creación de tablas, relaciones y rutinas SQL</w:t>
                </w:r>
              </w:p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1.3.1.2.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Pruebas iniciales de consultas</w:t>
                </w:r>
              </w:p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1.3.2.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Desarrollo Backend – Lógica de negocio y servicios (Semana 7-9)</w:t>
                </w:r>
              </w:p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1.3.2.1.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Implementación de APIs y servicios</w:t>
                </w:r>
              </w:p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1.3.2.2.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Pruebas unitarias iniciales</w:t>
                </w:r>
              </w:p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1.3.3.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Desarrollo Frontend – Interfaz de usuarios y empresas (Semana 10-11)</w:t>
                </w:r>
              </w:p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1.3.3.1.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Creación de interfaces web y paneles</w:t>
                </w:r>
              </w:p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1.3.3.2.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Integración con backend</w:t>
                </w:r>
              </w:p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   1.4 Pruebas</w:t>
                </w:r>
              </w:p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      1.4.1.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Integración de módulos (Semana 12)</w:t>
                </w:r>
              </w:p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1.4.1.1.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Conexión frontend, backend y base de datos</w:t>
                </w:r>
              </w:p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1.4.1.2.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Pruebas integrales del sistema</w:t>
                </w:r>
              </w:p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1.4.2.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Pruebas unitarias, integrales y validación de la plataforma (Semana 13)</w:t>
                </w:r>
              </w:p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1.4.2.1.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Corrección de errores detectados</w:t>
                </w:r>
              </w:p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1.4.2.2.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Validación funcional y de seguridad</w:t>
                </w:r>
              </w:p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   1.5 Implementación / Producción</w:t>
                </w:r>
              </w:p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      1.5.1.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Ajustes finales de seguridad, rendimiento y consistencia de datos (Semana 14)</w:t>
                </w:r>
              </w:p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1.5.1.1.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Revisión de vulnerabilidades y ajustes de seguridad</w:t>
                </w:r>
              </w:p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1.5.1.2.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Optimización de rendimiento del sistema</w:t>
                </w:r>
              </w:p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1.5.1.3.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Verificación de consistencia de datos en base de datos y módulos</w:t>
                </w:r>
              </w:p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1.5.2.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Paso a producción (Semana 15)</w:t>
                </w:r>
              </w:p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1.5.2.1.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Migración de base de datos a entorno de producción</w:t>
                </w:r>
              </w:p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1.5.2.2.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Despliegue de backend y frontend en servidores finales</w:t>
                </w:r>
              </w:p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1.5.2.3.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Configuración de accesos y roles de usuario</w:t>
                </w:r>
              </w:p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      1.5.3.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Pruebas finales en entorno de producción y corrección de observaciones (Semana 16-17)</w:t>
                </w:r>
              </w:p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1.5.3.1.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Pruebas finales de integración y aceptación de usuario</w:t>
                </w:r>
              </w:p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1.5.3.2.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Corrección de errores detectados en producción</w:t>
                </w:r>
              </w:p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1.5.3.3.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Validación de funcionalidades críticas y métricas de desempeño</w:t>
                </w:r>
              </w:p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   1.6 Cierre</w:t>
                </w:r>
              </w:p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      1.6.1.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Preparación y entrega de presentación del proyecto (Semana 18)</w:t>
                </w:r>
              </w:p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1.6.1.1.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Preparación de documentación final</w:t>
                </w:r>
              </w:p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1.6.1.2.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Presentación final ante comisión</w:t>
                </w:r>
              </w:p>
            </w:tc>
          </w:tr>
        </w:tbl>
      </w:sdtContent>
    </w:sdt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h2xgzkh0b32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Vista de Árbol </w:t>
      </w:r>
      <w:r w:rsidDel="00000000" w:rsidR="00000000" w:rsidRPr="00000000">
        <w:rPr>
          <w:rtl w:val="0"/>
        </w:rPr>
      </w:r>
    </w:p>
    <w:sdt>
      <w:sdtPr>
        <w:lock w:val="contentLocked"/>
        <w:id w:val="505276036"/>
        <w:tag w:val="goog_rdk_1"/>
      </w:sdtPr>
      <w:sdtContent>
        <w:tbl>
          <w:tblPr>
            <w:tblStyle w:val="Table3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838"/>
            <w:tblGridChange w:id="0">
              <w:tblGrid>
                <w:gridCol w:w="88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spacing w:line="240" w:lineRule="auto"/>
                  <w:rPr>
                    <w:rFonts w:ascii="Calibri" w:cs="Calibri" w:eastAsia="Calibri" w:hAnsi="Calibri"/>
                    <w:b w:val="1"/>
                    <w:color w:val="365f9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365f91"/>
                  </w:rPr>
                  <w:drawing>
                    <wp:inline distB="114300" distT="114300" distL="114300" distR="114300">
                      <wp:extent cx="5467350" cy="2374900"/>
                      <wp:effectExtent b="0" l="0" r="0" t="0"/>
                      <wp:docPr id="1028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467350" cy="2374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Para una mejor visualización acceder al siguiente link:</w:t>
      </w:r>
      <w:r w:rsidDel="00000000" w:rsidR="00000000" w:rsidRPr="00000000">
        <w:rPr>
          <w:rFonts w:ascii="Calibri" w:cs="Calibri" w:eastAsia="Calibri" w:hAnsi="Calibri"/>
          <w:b w:val="1"/>
          <w:color w:val="365f91"/>
          <w:rtl w:val="0"/>
        </w:rPr>
        <w:t xml:space="preserve"> </w:t>
      </w:r>
      <w:hyperlink r:id="rId8">
        <w:r w:rsidDel="00000000" w:rsidR="00000000" w:rsidRPr="00000000">
          <w:rPr>
            <w:rFonts w:ascii="Calibri" w:cs="Calibri" w:eastAsia="Calibri" w:hAnsi="Calibri"/>
            <w:b w:val="1"/>
            <w:i w:val="1"/>
            <w:color w:val="1155cc"/>
            <w:u w:val="single"/>
            <w:rtl w:val="0"/>
          </w:rPr>
          <w:t xml:space="preserve">Vista de Árbol</w:t>
        </w:r>
      </w:hyperlink>
      <w:r w:rsidDel="00000000" w:rsidR="00000000" w:rsidRPr="00000000">
        <w:rPr>
          <w:rFonts w:ascii="Calibri" w:cs="Calibri" w:eastAsia="Calibri" w:hAnsi="Calibri"/>
          <w:b w:val="1"/>
          <w:color w:val="365f91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color w:val="365f91"/>
          <w:sz w:val="32"/>
          <w:szCs w:val="32"/>
          <w:rtl w:val="0"/>
        </w:rPr>
        <w:t xml:space="preserve">Diccionario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Fonts w:ascii="Calibri" w:cs="Calibri" w:eastAsia="Calibri" w:hAnsi="Calibri"/>
          <w:color w:val="365f91"/>
        </w:rPr>
        <w:drawing>
          <wp:inline distB="114300" distT="114300" distL="114300" distR="114300">
            <wp:extent cx="5612130" cy="2692400"/>
            <wp:effectExtent b="0" l="0" r="0" t="0"/>
            <wp:docPr id="10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Diccionario EDT completo con todas las actividades, descripciones, entregables, responsables, criterios de aceptación, recursos principales y dependencias se encuentra disponible en el siguiente enlace para su revisión detallada: </w:t>
      </w:r>
      <w:hyperlink r:id="rId10">
        <w:r w:rsidDel="00000000" w:rsidR="00000000" w:rsidRPr="00000000">
          <w:rPr>
            <w:rFonts w:ascii="Calibri" w:cs="Calibri" w:eastAsia="Calibri" w:hAnsi="Calibri"/>
            <w:i w:val="1"/>
            <w:color w:val="1155cc"/>
            <w:u w:val="single"/>
            <w:rtl w:val="0"/>
          </w:rPr>
          <w:t xml:space="preserve">Diccionario EDT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  <w:r w:rsidDel="00000000" w:rsidR="00000000" w:rsidRPr="00000000">
        <w:rPr>
          <w:rtl w:val="0"/>
        </w:rPr>
      </w:r>
    </w:p>
    <w:sdt>
      <w:sdtPr>
        <w:lock w:val="contentLocked"/>
        <w:id w:val="311602490"/>
        <w:tag w:val="goog_rdk_2"/>
      </w:sdtPr>
      <w:sdtContent>
        <w:tbl>
          <w:tblPr>
            <w:tblStyle w:val="Table4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46"/>
            <w:gridCol w:w="2946"/>
            <w:gridCol w:w="2946"/>
            <w:tblGridChange w:id="0">
              <w:tblGrid>
                <w:gridCol w:w="2946"/>
                <w:gridCol w:w="2946"/>
                <w:gridCol w:w="294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Patrocinador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4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Fecha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Líder de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7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20/08/2025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8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Alison Ibarra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9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Líder de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A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20/08/2025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B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Italo Muñoz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C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Líder de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D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20/08/2025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E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José Figueroa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F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Líder de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0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20/08/2025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1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Juan Ignacio Marquez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2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Docente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3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20/08/2025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4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Francia Berna</w:t>
                </w:r>
              </w:p>
            </w:tc>
          </w:tr>
        </w:tbl>
      </w:sdtContent>
    </w:sdt>
    <w:p w:rsidR="00000000" w:rsidDel="00000000" w:rsidP="00000000" w:rsidRDefault="00000000" w:rsidRPr="00000000" w14:paraId="000000B5">
      <w:pPr>
        <w:spacing w:before="280" w:line="240" w:lineRule="auto"/>
        <w:rPr>
          <w:rFonts w:ascii="Calibri" w:cs="Calibri" w:eastAsia="Calibri" w:hAnsi="Calibri"/>
          <w:b w:val="1"/>
          <w:color w:val="365f91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i w:val="0"/>
        <w:smallCaps w:val="0"/>
        <w:strike w:val="0"/>
        <w:color w:val="365f9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1"/>
        <w:smallCaps w:val="0"/>
        <w:strike w:val="0"/>
        <w:color w:val="365f91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102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102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und" w:val="und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und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ocs.google.com/spreadsheets/d/1WeoWYlbITviJnio5dwEu_PIE4-Dqgpp3qIwXKgWmRXc/edit?usp=sharing" TargetMode="External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spreadsheets/d/1WeoWYlbITviJnio5dwEu_PIE4-Dqgpp3qIwXKgWmRXc/edit?usp=sharing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PwNEubuBmlOfdFJL+PaCVxP3sQ==">CgMxLjAaHwoBMBIaChgICVIUChJ0YWJsZS5oY29nbTBiamk5OTMaHwoBMRIaChgICVIUChJ0YWJsZS5mY2NtaWZrdmp5NWMaHwoBMhIaChgICVIUChJ0YWJsZS5xd3Exc3hicGRrN2oyDmguOW82amE3NmR2d2w4Mg5oLmRiYWJ5ajRnM3phaDIOaC4ybnQ3bWFscmp3ZGgyDmguaDJ4Z3praDBiMzJjOAByITFBVFJ1UTM2RGpER1BlVzBtNkx1VWpLTFBVMzByYUp6bw==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