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2AD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310" w:lineRule="atLeast"/>
        <w:ind w:left="0" w:right="0" w:firstLine="0"/>
        <w:rPr>
          <w:rFonts w:ascii="微软雅黑" w:hAnsi="微软雅黑" w:eastAsia="微软雅黑" w:cs="微软雅黑"/>
          <w:b/>
          <w:bCs/>
          <w:i w:val="0"/>
          <w:iCs w:val="0"/>
          <w:caps w:val="0"/>
          <w:color w:val="222222"/>
          <w:spacing w:val="0"/>
          <w:sz w:val="26"/>
          <w:szCs w:val="26"/>
        </w:rPr>
      </w:pPr>
      <w:r>
        <w:rPr>
          <w:rFonts w:hint="eastAsia" w:ascii="微软雅黑" w:hAnsi="微软雅黑" w:eastAsia="微软雅黑" w:cs="微软雅黑"/>
          <w:b/>
          <w:bCs/>
          <w:i w:val="0"/>
          <w:iCs w:val="0"/>
          <w:caps w:val="0"/>
          <w:color w:val="222222"/>
          <w:spacing w:val="0"/>
          <w:sz w:val="26"/>
          <w:szCs w:val="26"/>
          <w:bdr w:val="none" w:color="auto" w:sz="0" w:space="0"/>
        </w:rPr>
        <w:t>广东发布老年人法律咨询数据，薪资难保障成老人再就业痛点</w:t>
      </w:r>
    </w:p>
    <w:p w14:paraId="3A14C5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10" w:lineRule="atLeast"/>
        <w:ind w:left="0" w:right="0" w:firstLine="0"/>
        <w:jc w:val="both"/>
        <w:rPr>
          <w:rFonts w:ascii="微软雅黑" w:hAnsi="微软雅黑" w:eastAsia="微软雅黑" w:cs="微软雅黑"/>
          <w:i w:val="0"/>
          <w:iCs w:val="0"/>
          <w:caps w:val="0"/>
          <w:color w:val="222222"/>
          <w:spacing w:val="0"/>
          <w:sz w:val="19"/>
          <w:szCs w:val="19"/>
        </w:rPr>
      </w:pPr>
      <w:r>
        <w:rPr>
          <w:rFonts w:hint="eastAsia" w:ascii="微软雅黑" w:hAnsi="微软雅黑" w:eastAsia="微软雅黑" w:cs="微软雅黑"/>
          <w:i w:val="0"/>
          <w:iCs w:val="0"/>
          <w:caps w:val="0"/>
          <w:color w:val="222222"/>
          <w:spacing w:val="0"/>
          <w:sz w:val="19"/>
          <w:szCs w:val="19"/>
          <w:bdr w:val="none" w:color="auto" w:sz="0" w:space="0"/>
          <w:shd w:val="clear" w:fill="FFFFFF"/>
        </w:rPr>
        <w:t>10月22日，南都记者从广东省司法厅获悉，广东法律服务网近日发布了《广东法律服务网线上平台老年人群体法律咨询分析报告（2023年1-9月）》，通过运用大数据分析老年人群体高发、易发矛盾纠纷的趋势和特点，为依法、精准、高效维护老年人群体合法权益提供参考。</w:t>
      </w:r>
    </w:p>
    <w:p w14:paraId="0D5BA9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10" w:lineRule="atLeast"/>
        <w:ind w:left="0" w:right="0" w:firstLine="0"/>
        <w:jc w:val="both"/>
        <w:rPr>
          <w:rFonts w:hint="eastAsia" w:ascii="微软雅黑" w:hAnsi="微软雅黑" w:eastAsia="微软雅黑" w:cs="微软雅黑"/>
          <w:i w:val="0"/>
          <w:iCs w:val="0"/>
          <w:caps w:val="0"/>
          <w:color w:val="222222"/>
          <w:spacing w:val="0"/>
          <w:sz w:val="19"/>
          <w:szCs w:val="19"/>
        </w:rPr>
      </w:pPr>
      <w:r>
        <w:rPr>
          <w:rFonts w:hint="eastAsia" w:ascii="微软雅黑" w:hAnsi="微软雅黑" w:eastAsia="微软雅黑" w:cs="微软雅黑"/>
          <w:i w:val="0"/>
          <w:iCs w:val="0"/>
          <w:caps w:val="0"/>
          <w:color w:val="222222"/>
          <w:spacing w:val="0"/>
          <w:sz w:val="19"/>
          <w:szCs w:val="19"/>
          <w:bdr w:val="none" w:color="auto" w:sz="0" w:space="0"/>
          <w:shd w:val="clear" w:fill="FFFFFF"/>
        </w:rPr>
        <w:t>2023年1-9月，广东法律服务网线上平台累计提供涉及老年人群体的法律咨询服务7813次，同比下降15.7%；其中民事咨询6894次（同比下降14.1%），行政咨询557次（同比下降22.1%），刑事咨询362次（同比下降31.8%）。</w:t>
      </w:r>
    </w:p>
    <w:p w14:paraId="11B7D0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10" w:lineRule="atLeast"/>
        <w:ind w:left="0" w:right="0" w:firstLine="0"/>
        <w:jc w:val="both"/>
        <w:rPr>
          <w:rFonts w:hint="eastAsia" w:ascii="微软雅黑" w:hAnsi="微软雅黑" w:eastAsia="微软雅黑" w:cs="微软雅黑"/>
          <w:i w:val="0"/>
          <w:iCs w:val="0"/>
          <w:caps w:val="0"/>
          <w:color w:val="222222"/>
          <w:spacing w:val="0"/>
          <w:sz w:val="19"/>
          <w:szCs w:val="19"/>
        </w:rPr>
      </w:pPr>
      <w:r>
        <w:rPr>
          <w:rFonts w:hint="eastAsia" w:ascii="微软雅黑" w:hAnsi="微软雅黑" w:eastAsia="微软雅黑" w:cs="微软雅黑"/>
          <w:i w:val="0"/>
          <w:iCs w:val="0"/>
          <w:caps w:val="0"/>
          <w:color w:val="222222"/>
          <w:spacing w:val="0"/>
          <w:sz w:val="19"/>
          <w:szCs w:val="19"/>
          <w:bdr w:val="none" w:color="auto" w:sz="0" w:space="0"/>
          <w:shd w:val="clear" w:fill="FFFFFF"/>
        </w:rPr>
        <w:t>经大数据分析比对，老年人群体相关法律服务需求呈现多个明显特点，其中薪资难保障成老年人群体再就业最大痛点。 </w:t>
      </w:r>
    </w:p>
    <w:p w14:paraId="12B4EF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10" w:lineRule="atLeast"/>
        <w:ind w:left="0" w:right="0" w:firstLine="0"/>
        <w:jc w:val="both"/>
        <w:rPr>
          <w:rFonts w:hint="eastAsia" w:ascii="微软雅黑" w:hAnsi="微软雅黑" w:eastAsia="微软雅黑" w:cs="微软雅黑"/>
          <w:i w:val="0"/>
          <w:iCs w:val="0"/>
          <w:caps w:val="0"/>
          <w:color w:val="222222"/>
          <w:spacing w:val="0"/>
          <w:sz w:val="19"/>
          <w:szCs w:val="19"/>
        </w:rPr>
      </w:pPr>
      <w:r>
        <w:rPr>
          <w:rFonts w:hint="eastAsia" w:ascii="微软雅黑" w:hAnsi="微软雅黑" w:eastAsia="微软雅黑" w:cs="微软雅黑"/>
          <w:i w:val="0"/>
          <w:iCs w:val="0"/>
          <w:caps w:val="0"/>
          <w:color w:val="222222"/>
          <w:spacing w:val="0"/>
          <w:sz w:val="19"/>
          <w:szCs w:val="19"/>
          <w:bdr w:val="none" w:color="auto" w:sz="0" w:space="0"/>
          <w:shd w:val="clear" w:fill="FFFFFF"/>
        </w:rPr>
        <w:t>老年人群体因再就业产生的劳务合同类咨询不断增多，已占到民事咨询的10.6%，主要涉及薪酬福利无保障、因工受伤难获工伤待遇等。据统计，在劳务合同纠纷中，有39.2%的咨询者反映被拖欠工资，但因签订的是劳务合同或仅为口头约定，故维权难度较大，此种纠纷多发于建筑业和制造业。</w:t>
      </w:r>
    </w:p>
    <w:p w14:paraId="572A2C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10" w:lineRule="atLeast"/>
        <w:ind w:left="0" w:right="0" w:firstLine="0"/>
        <w:jc w:val="both"/>
        <w:rPr>
          <w:rFonts w:hint="eastAsia" w:ascii="微软雅黑" w:hAnsi="微软雅黑" w:eastAsia="微软雅黑" w:cs="微软雅黑"/>
          <w:i w:val="0"/>
          <w:iCs w:val="0"/>
          <w:caps w:val="0"/>
          <w:color w:val="222222"/>
          <w:spacing w:val="0"/>
          <w:sz w:val="19"/>
          <w:szCs w:val="19"/>
        </w:rPr>
      </w:pPr>
      <w:r>
        <w:rPr>
          <w:rFonts w:hint="eastAsia" w:ascii="微软雅黑" w:hAnsi="微软雅黑" w:eastAsia="微软雅黑" w:cs="微软雅黑"/>
          <w:i w:val="0"/>
          <w:iCs w:val="0"/>
          <w:caps w:val="0"/>
          <w:color w:val="222222"/>
          <w:spacing w:val="0"/>
          <w:sz w:val="19"/>
          <w:szCs w:val="19"/>
          <w:bdr w:val="none" w:color="auto" w:sz="0" w:space="0"/>
          <w:shd w:val="clear" w:fill="FFFFFF"/>
        </w:rPr>
        <w:t>借贷证据不全成老年人追讨欠款维权阻碍。老年人群体追讨欠款类咨询占民事咨询总量的10.4%，其中约三成的咨询者反映出借款项时仅提供了借条或仅存在转账汇款记录，导致追讨欠款时存在一定的举证不全风险。另外，约10.7%的咨询者通过支付宝、微信等平台交付款项，仅有文字或语音聊天记录作为借贷证据，造成部分借贷关系无法有效认定，影响款项追讨。</w:t>
      </w:r>
    </w:p>
    <w:p w14:paraId="0A1818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10" w:lineRule="atLeast"/>
        <w:ind w:left="0" w:right="0" w:firstLine="0"/>
        <w:jc w:val="both"/>
        <w:rPr>
          <w:rFonts w:hint="eastAsia" w:ascii="微软雅黑" w:hAnsi="微软雅黑" w:eastAsia="微软雅黑" w:cs="微软雅黑"/>
          <w:i w:val="0"/>
          <w:iCs w:val="0"/>
          <w:caps w:val="0"/>
          <w:color w:val="222222"/>
          <w:spacing w:val="0"/>
          <w:sz w:val="19"/>
          <w:szCs w:val="19"/>
        </w:rPr>
      </w:pPr>
      <w:r>
        <w:rPr>
          <w:rFonts w:hint="eastAsia" w:ascii="微软雅黑" w:hAnsi="微软雅黑" w:eastAsia="微软雅黑" w:cs="微软雅黑"/>
          <w:i w:val="0"/>
          <w:iCs w:val="0"/>
          <w:caps w:val="0"/>
          <w:color w:val="222222"/>
          <w:spacing w:val="0"/>
          <w:sz w:val="19"/>
          <w:szCs w:val="19"/>
          <w:bdr w:val="none" w:color="auto" w:sz="0" w:space="0"/>
          <w:shd w:val="clear" w:fill="FFFFFF"/>
        </w:rPr>
        <w:t>同时离婚咨询总体下降，仅深圳清远逆势上升。老年人群体涉离婚咨询同比下降13.9%，但深圳市离婚咨询较去年同比增长36%，清远市同比增长125%，均集中在房产分割方面。涉及婚姻家庭咨询中，有30.2%咨询者提出欲通过诉讼、寻找律师订立遗嘱、遗嘱公</w:t>
      </w:r>
      <w:bookmarkStart w:id="0" w:name="_GoBack"/>
      <w:bookmarkEnd w:id="0"/>
      <w:r>
        <w:rPr>
          <w:rFonts w:hint="eastAsia" w:ascii="微软雅黑" w:hAnsi="微软雅黑" w:eastAsia="微软雅黑" w:cs="微软雅黑"/>
          <w:i w:val="0"/>
          <w:iCs w:val="0"/>
          <w:caps w:val="0"/>
          <w:color w:val="222222"/>
          <w:spacing w:val="0"/>
          <w:sz w:val="19"/>
          <w:szCs w:val="19"/>
          <w:bdr w:val="none" w:color="auto" w:sz="0" w:space="0"/>
          <w:shd w:val="clear" w:fill="FFFFFF"/>
        </w:rPr>
        <w:t>证等方式理清权利义务关系。</w:t>
      </w:r>
    </w:p>
    <w:p w14:paraId="15ABB4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310" w:lineRule="atLeast"/>
        <w:ind w:left="0" w:right="0" w:firstLine="0"/>
        <w:jc w:val="both"/>
        <w:rPr>
          <w:rFonts w:hint="eastAsia" w:ascii="微软雅黑" w:hAnsi="微软雅黑" w:eastAsia="微软雅黑" w:cs="微软雅黑"/>
          <w:i w:val="0"/>
          <w:iCs w:val="0"/>
          <w:caps w:val="0"/>
          <w:color w:val="222222"/>
          <w:spacing w:val="0"/>
          <w:sz w:val="19"/>
          <w:szCs w:val="19"/>
        </w:rPr>
      </w:pPr>
      <w:r>
        <w:rPr>
          <w:rFonts w:hint="eastAsia" w:ascii="微软雅黑" w:hAnsi="微软雅黑" w:eastAsia="微软雅黑" w:cs="微软雅黑"/>
          <w:i w:val="0"/>
          <w:iCs w:val="0"/>
          <w:caps w:val="0"/>
          <w:color w:val="222222"/>
          <w:spacing w:val="0"/>
          <w:sz w:val="19"/>
          <w:szCs w:val="19"/>
          <w:bdr w:val="none" w:color="auto" w:sz="0" w:space="0"/>
          <w:shd w:val="clear" w:fill="FFFFFF"/>
        </w:rPr>
        <w:t>南都记者了解到，该份分析报告还提及老年人群体咨询电信诈骗的情况，电信网络诈骗或成侵犯老年人财产新苗头。据统计，诈骗成为老年人刑事类法律咨询最大热点，占比约为刑事咨询总数的六分之一，且诈骗形式更加多样，既包括以“投资”名义的集资诈骗，也包括基金理财、金融服务适老化改造等新型手段。尤其应关注的是，电信网络诈骗咨询同比增长达61.5%，老年人反诈宣传等工作仍需继续加大力度。</w:t>
      </w:r>
    </w:p>
    <w:p w14:paraId="0C43EA2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9B6F27"/>
    <w:rsid w:val="1AD47792"/>
    <w:rsid w:val="489B6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2025-03-08T02:35:00Z</dcterms:created>
  <dc:creator>Wo@.</dc:creator>
  <cp:lastModifiedBy>Wo@.</cp:lastModifiedBy>
  <dcterms:modified xsi:type="dcterms:W3CDTF">2025-03-08T02:36:15Z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6E6CF4F5081A4B2BAC3B9BCA8361E8AB_11</vt:lpwstr>
  </property>
  <property fmtid="{D5CDD505-2E9C-101B-9397-08002B2CF9AE}" pid="4" name="KSOTemplateDocerSaveRecord">
    <vt:lpwstr>eyJoZGlkIjoiZTE3MjY5YTRkMTk4MWQwZGNjM2FjOWUzNDExODYyYTkiLCJ1c2VySWQiOiI1NjE4NjM2NjAifQ==</vt:lpwstr>
  </property>
</Properties>
</file>